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0CC5C" w14:textId="2F79CAF7" w:rsidR="007D3375" w:rsidRDefault="007D3375"/>
    <w:p w14:paraId="6E6C2E69" w14:textId="5D17A59C" w:rsidR="00C50BDC" w:rsidRDefault="00C50BDC">
      <w:pPr>
        <w:rPr>
          <w:b/>
          <w:bCs/>
        </w:rPr>
      </w:pPr>
      <w:r>
        <w:rPr>
          <w:b/>
          <w:bCs/>
        </w:rPr>
        <w:t xml:space="preserve">Service Overview: </w:t>
      </w:r>
    </w:p>
    <w:p w14:paraId="3632C256" w14:textId="77777777" w:rsidR="00C50BDC" w:rsidRPr="00C50BDC" w:rsidRDefault="00C50BDC" w:rsidP="00C50BDC">
      <w:pPr>
        <w:rPr>
          <w:rFonts w:eastAsia="Arial"/>
          <w:sz w:val="22"/>
          <w:szCs w:val="22"/>
        </w:rPr>
      </w:pPr>
      <w:r w:rsidRPr="00C50BDC">
        <w:rPr>
          <w:rFonts w:eastAsia="Arial"/>
          <w:sz w:val="22"/>
          <w:szCs w:val="22"/>
        </w:rPr>
        <w:t>The service of CMDUs under the published clinical policy will provide access to neutralising monoclonal antibodies (nMABs) or antivirals for symptomatic, non-hospitalised patients with confirmed COVID-19.</w:t>
      </w:r>
    </w:p>
    <w:p w14:paraId="54563C1A" w14:textId="77777777" w:rsidR="00C50BDC" w:rsidRPr="00C50BDC" w:rsidRDefault="00C50BDC" w:rsidP="00C50BDC">
      <w:pPr>
        <w:rPr>
          <w:rFonts w:eastAsia="Arial"/>
          <w:sz w:val="22"/>
          <w:szCs w:val="22"/>
        </w:rPr>
      </w:pPr>
    </w:p>
    <w:p w14:paraId="0B4C89A4" w14:textId="77777777" w:rsidR="00C50BDC" w:rsidRPr="00C50BDC" w:rsidRDefault="00C50BDC" w:rsidP="00C50BDC">
      <w:pPr>
        <w:rPr>
          <w:rFonts w:eastAsia="Times New Roman"/>
          <w:sz w:val="22"/>
          <w:szCs w:val="22"/>
        </w:rPr>
      </w:pPr>
      <w:r w:rsidRPr="00C50BDC">
        <w:rPr>
          <w:rFonts w:eastAsia="Times New Roman"/>
          <w:sz w:val="22"/>
          <w:szCs w:val="22"/>
        </w:rPr>
        <w:t xml:space="preserve">Patients who are potentially eligible must also meet all 3 of following criteria: </w:t>
      </w:r>
    </w:p>
    <w:p w14:paraId="1249040A" w14:textId="77777777" w:rsidR="00C50BDC" w:rsidRPr="00C00D1C" w:rsidRDefault="00C50BDC" w:rsidP="00C00D1C">
      <w:pPr>
        <w:pStyle w:val="NoSpacing"/>
      </w:pPr>
    </w:p>
    <w:p w14:paraId="162CB499" w14:textId="77777777" w:rsidR="00C50BDC" w:rsidRPr="00C00D1C" w:rsidRDefault="00C50BDC" w:rsidP="00C00D1C">
      <w:pPr>
        <w:pStyle w:val="NoSpacing"/>
        <w:numPr>
          <w:ilvl w:val="0"/>
          <w:numId w:val="4"/>
        </w:numPr>
        <w:rPr>
          <w:sz w:val="22"/>
          <w:szCs w:val="22"/>
        </w:rPr>
      </w:pPr>
      <w:r w:rsidRPr="00C00D1C">
        <w:rPr>
          <w:sz w:val="22"/>
          <w:szCs w:val="22"/>
        </w:rPr>
        <w:t>Fall into one of the highest risk clinical cohorts set out in the clinical policy (cohorts established through an independent advisory group commissioned by DHSC)</w:t>
      </w:r>
    </w:p>
    <w:p w14:paraId="79A9E22D" w14:textId="284D28A9" w:rsidR="00C50BDC" w:rsidRPr="00C00D1C" w:rsidRDefault="00C50BDC" w:rsidP="00C00D1C">
      <w:pPr>
        <w:pStyle w:val="NoSpacing"/>
        <w:numPr>
          <w:ilvl w:val="0"/>
          <w:numId w:val="4"/>
        </w:numPr>
        <w:rPr>
          <w:sz w:val="22"/>
          <w:szCs w:val="22"/>
        </w:rPr>
      </w:pPr>
      <w:r w:rsidRPr="00C00D1C">
        <w:rPr>
          <w:sz w:val="22"/>
          <w:szCs w:val="22"/>
        </w:rPr>
        <w:t>SARS-CoV-2 positive, confirmed by a PCR</w:t>
      </w:r>
      <w:r w:rsidR="002869C1">
        <w:rPr>
          <w:sz w:val="22"/>
          <w:szCs w:val="22"/>
        </w:rPr>
        <w:t>/LFT test</w:t>
      </w:r>
      <w:r w:rsidRPr="00C00D1C">
        <w:rPr>
          <w:sz w:val="22"/>
          <w:szCs w:val="22"/>
        </w:rPr>
        <w:t xml:space="preserve">, symptomatic </w:t>
      </w:r>
    </w:p>
    <w:p w14:paraId="6C9C6EF9" w14:textId="17BDD0AC" w:rsidR="00C50BDC" w:rsidRPr="00C00D1C" w:rsidRDefault="00C50BDC" w:rsidP="00C00D1C">
      <w:pPr>
        <w:pStyle w:val="NoSpacing"/>
        <w:numPr>
          <w:ilvl w:val="0"/>
          <w:numId w:val="4"/>
        </w:numPr>
        <w:rPr>
          <w:sz w:val="22"/>
          <w:szCs w:val="22"/>
        </w:rPr>
      </w:pPr>
      <w:r w:rsidRPr="00C00D1C">
        <w:rPr>
          <w:sz w:val="22"/>
          <w:szCs w:val="22"/>
        </w:rPr>
        <w:t>Be within the therapeutic window set out in the policy.</w:t>
      </w:r>
    </w:p>
    <w:p w14:paraId="289F672A" w14:textId="77777777" w:rsidR="00C50BDC" w:rsidRPr="00C50BDC" w:rsidRDefault="00C50BDC" w:rsidP="00C50BDC">
      <w:pPr>
        <w:pStyle w:val="ListParagraph"/>
        <w:rPr>
          <w:b/>
          <w:bCs/>
          <w:color w:val="2F5496" w:themeColor="accent1" w:themeShade="BF"/>
          <w:sz w:val="22"/>
          <w:szCs w:val="22"/>
        </w:rPr>
      </w:pPr>
    </w:p>
    <w:p w14:paraId="6F392943" w14:textId="20896747" w:rsidR="00C50BDC" w:rsidRDefault="00C50BDC">
      <w:pPr>
        <w:rPr>
          <w:sz w:val="22"/>
          <w:szCs w:val="22"/>
        </w:rPr>
      </w:pPr>
      <w:r w:rsidRPr="00C50BDC">
        <w:rPr>
          <w:sz w:val="22"/>
          <w:szCs w:val="22"/>
        </w:rPr>
        <w:t>Patients will be triaged by Yorkshire Health Partners (YHP) in the first instance and referred on for treatment via the CMDU by the clinical team if the</w:t>
      </w:r>
      <w:r w:rsidR="008345B4">
        <w:rPr>
          <w:sz w:val="22"/>
          <w:szCs w:val="22"/>
        </w:rPr>
        <w:t xml:space="preserve"> patient</w:t>
      </w:r>
      <w:r w:rsidRPr="00C50BDC">
        <w:rPr>
          <w:sz w:val="22"/>
          <w:szCs w:val="22"/>
        </w:rPr>
        <w:t xml:space="preserve"> fall</w:t>
      </w:r>
      <w:r w:rsidR="008345B4">
        <w:rPr>
          <w:sz w:val="22"/>
          <w:szCs w:val="22"/>
        </w:rPr>
        <w:t>s</w:t>
      </w:r>
      <w:r w:rsidRPr="00C50BDC">
        <w:rPr>
          <w:sz w:val="22"/>
          <w:szCs w:val="22"/>
        </w:rPr>
        <w:t xml:space="preserve"> under the </w:t>
      </w:r>
      <w:r w:rsidR="008345B4">
        <w:rPr>
          <w:sz w:val="22"/>
          <w:szCs w:val="22"/>
        </w:rPr>
        <w:t xml:space="preserve">eligibility and </w:t>
      </w:r>
      <w:r w:rsidRPr="00C50BDC">
        <w:rPr>
          <w:sz w:val="22"/>
          <w:szCs w:val="22"/>
        </w:rPr>
        <w:t>treatment criteria</w:t>
      </w:r>
      <w:r w:rsidR="008345B4">
        <w:rPr>
          <w:sz w:val="22"/>
          <w:szCs w:val="22"/>
        </w:rPr>
        <w:t xml:space="preserve"> below.</w:t>
      </w:r>
      <w:r w:rsidRPr="00C50BDC">
        <w:rPr>
          <w:sz w:val="22"/>
          <w:szCs w:val="22"/>
        </w:rPr>
        <w:t xml:space="preserve"> </w:t>
      </w:r>
    </w:p>
    <w:p w14:paraId="524BC4AA" w14:textId="77777777" w:rsidR="00E32AA1" w:rsidRPr="00E32AA1" w:rsidRDefault="00E32AA1">
      <w:pPr>
        <w:rPr>
          <w:sz w:val="22"/>
          <w:szCs w:val="22"/>
        </w:rPr>
      </w:pPr>
    </w:p>
    <w:p w14:paraId="68ACEFD0" w14:textId="77777777" w:rsidR="00B37D7E" w:rsidRPr="00DB3077" w:rsidRDefault="00B37D7E">
      <w:pPr>
        <w:rPr>
          <w:b/>
        </w:rPr>
      </w:pPr>
      <w:r w:rsidRPr="00DB3077">
        <w:rPr>
          <w:b/>
        </w:rPr>
        <w:t>Patient details:</w:t>
      </w:r>
    </w:p>
    <w:p w14:paraId="4D78EB48" w14:textId="77777777" w:rsidR="00DB3077" w:rsidRDefault="00DB3077"/>
    <w:tbl>
      <w:tblPr>
        <w:tblW w:w="0" w:type="auto"/>
        <w:tblLook w:val="04A0" w:firstRow="1" w:lastRow="0" w:firstColumn="1" w:lastColumn="0" w:noHBand="0" w:noVBand="1"/>
      </w:tblPr>
      <w:tblGrid>
        <w:gridCol w:w="1790"/>
        <w:gridCol w:w="8670"/>
      </w:tblGrid>
      <w:tr w:rsidR="002155EE" w:rsidRPr="00191FC1" w14:paraId="329DE0B6" w14:textId="77777777" w:rsidTr="00C00D1C">
        <w:tc>
          <w:tcPr>
            <w:tcW w:w="1790" w:type="dxa"/>
            <w:shd w:val="clear" w:color="auto" w:fill="auto"/>
          </w:tcPr>
          <w:p w14:paraId="32E71880" w14:textId="77777777" w:rsidR="002155EE" w:rsidRPr="00191FC1" w:rsidRDefault="002155EE" w:rsidP="002155EE">
            <w:r>
              <w:t>Name:</w:t>
            </w:r>
            <w:r>
              <w:tab/>
            </w:r>
            <w:r w:rsidRPr="00191FC1">
              <w:tab/>
            </w:r>
          </w:p>
        </w:tc>
        <w:tc>
          <w:tcPr>
            <w:tcW w:w="8670" w:type="dxa"/>
            <w:shd w:val="clear" w:color="auto" w:fill="FFFF00"/>
          </w:tcPr>
          <w:p w14:paraId="66A3BD31" w14:textId="77777777" w:rsidR="002155EE" w:rsidRPr="00191FC1" w:rsidRDefault="002155EE">
            <w:r w:rsidRPr="00191FC1"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ACIAMQAsADIALAA2ACIAIABvAHUAdABwAHUAdABGAGkAZQBsAGQAVwBpAGQAdABoAHMAPQAiACUA
MQAsACUAMQAsACUAMQAiACAAbwB1AHQAcAB1AHQARgBpAGUAbABkAE4AbwBuAEUAbQBwAHQAeQBP
AHYAZQByAHIAaQBkAGUAVABlAHgAdABzAD0AIgAsACwAIgAgAG8AdQB0AHAAdQB0AEYAaQBlAGwA
ZABDAHUAcwB0AG8AbQBEAGUAcwBjAHIAaQBwAHQAaQBvAG4AcwA9ACIALAAsACIAIABvAHUAdABw
AHUAdABGAGkAZQBsAGQARgBvAHIAbQBhAHQAcwA9ACIAIgAgAG8AdQB0AHAAdQB0AEIAbwByAGQA
ZQByAFQAeQBwAGUAPQAiADAAIgAgAHIAZQBhAGQAQwBvAGQAZQBNAGEAcABwAGkAbgBnAFAAYQBy
AGEAbQBlAHQAZQByAHMAPQAiACIAIABzAGgAbwB3AFQAaQBtAGUARgBvAHIATQBlAHIAZwBlAGQA
RABvAHMAZQBBAG4AZABUAGkAbQBlAHMAPQAiAHkAIgAgAGQAZQBsAGkAbQBpAHQAZQByAD0AIgAg
ACIAIABuAGUAdwBMAGkAbgBlAEIAZQB0AHcAZQBlAG4ARQBuAHQAaQB0AGkAZQBzAD0AIgB5ACIA
IABhAHUAdABvAEYAaQB0AE0AbwBkAGUAPQAiADEAIgAgAGUAbQBwAHQAeQBUAGEAYgBsAGUATQBv
AGQAZQA9ACIAMAAiACAAZQBtAHAAdAB5AFQAYQBiAGwAZQBUAGUAeAB0AD0AIgAiACAAVQBuAGQA
ZQByAEEAZwBlAD0AIgAtADEAIgAgAFIAZQBsAGEAdABpAG8AbgBzAGgAaQBwAFQAeQBwAGUAcwA9
ACIAIgAgAEEAbABsAG8AdwBSAG8AdwBQAGEAZwBlAFMAcABsAGkAdAA9ACIAeQAiACAARgBpAHgA
ZQBkAFIAbwB3AEgAZQBpAGcAaAB0AD0AIgAtADEALgAwACIAIABOAHUAbQBTAHQAcgBpAHAAZQBz
AD0AIgAtADEAIgAgAEMAZQBsAGwAVABvAHAAPQAiADAALgAwACIAIABDAGUAbABsAEwAZQBmAHQA
PQAiADAALgAxADkAIgAgAEMAZQBsAGwAQgBvAHQAdABvAG0APQAiADAALgAwACIAIABDAGUAbABs
AFIAaQBnAGgAdAA9ACIAMAAuADEAOQAiACAAUgBlAG0AbwB2AGUARAB1AHAAbABpAGMAYQB0AGUA
UgBvAHcAcwA9ACIAeQAiAC8APgA=
</w:fldData>
              </w:fldChar>
            </w:r>
            <w:r w:rsidRPr="00191FC1">
              <w:instrText>ADDIN "&lt;Patient Name&gt;"</w:instrText>
            </w:r>
            <w:r w:rsidRPr="00191FC1">
              <w:fldChar w:fldCharType="separate"/>
            </w:r>
            <w:r w:rsidRPr="00191FC1">
              <w:t>&lt;</w:t>
            </w:r>
            <w:r w:rsidRPr="002155EE">
              <w:rPr>
                <w:bdr w:val="single" w:sz="4" w:space="0" w:color="auto"/>
              </w:rPr>
              <w:t>Patient</w:t>
            </w:r>
            <w:r w:rsidRPr="00191FC1">
              <w:t xml:space="preserve"> Name&gt;</w:t>
            </w:r>
            <w:r w:rsidRPr="00191FC1">
              <w:fldChar w:fldCharType="end"/>
            </w:r>
          </w:p>
        </w:tc>
      </w:tr>
      <w:tr w:rsidR="002155EE" w:rsidRPr="00191FC1" w14:paraId="16640161" w14:textId="77777777" w:rsidTr="00C00D1C">
        <w:tc>
          <w:tcPr>
            <w:tcW w:w="1790" w:type="dxa"/>
            <w:shd w:val="clear" w:color="auto" w:fill="auto"/>
          </w:tcPr>
          <w:p w14:paraId="6DC26CC6" w14:textId="77777777" w:rsidR="002155EE" w:rsidRPr="00191FC1" w:rsidRDefault="002155EE">
            <w:r>
              <w:t>DOB:</w:t>
            </w:r>
          </w:p>
        </w:tc>
        <w:tc>
          <w:tcPr>
            <w:tcW w:w="8670" w:type="dxa"/>
            <w:shd w:val="clear" w:color="auto" w:fill="FFFF00"/>
          </w:tcPr>
          <w:p w14:paraId="56D3CCC8" w14:textId="77777777" w:rsidR="002155EE" w:rsidRPr="00191FC1" w:rsidRDefault="002155EE">
            <w:r w:rsidRPr="00191FC1">
              <w:fldChar w:fldCharType="begin">
        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        </w:fldChar>
            </w:r>
            <w:r w:rsidRPr="00191FC1">
              <w:instrText>ADDIN "&lt;Date of Birth&gt;"</w:instrText>
            </w:r>
            <w:r w:rsidRPr="00191FC1">
              <w:fldChar w:fldCharType="separate"/>
            </w:r>
            <w:r w:rsidRPr="00191FC1">
              <w:t>&lt;Date of Birth&gt;</w:t>
            </w:r>
            <w:r w:rsidRPr="00191FC1">
              <w:fldChar w:fldCharType="end"/>
            </w:r>
          </w:p>
        </w:tc>
      </w:tr>
      <w:tr w:rsidR="002155EE" w:rsidRPr="00191FC1" w14:paraId="1E400F2E" w14:textId="77777777" w:rsidTr="00C00D1C">
        <w:tc>
          <w:tcPr>
            <w:tcW w:w="1790" w:type="dxa"/>
            <w:shd w:val="clear" w:color="auto" w:fill="auto"/>
          </w:tcPr>
          <w:p w14:paraId="1595AF39" w14:textId="77777777" w:rsidR="002155EE" w:rsidRDefault="002155EE">
            <w:r>
              <w:t>NHS:</w:t>
            </w:r>
          </w:p>
        </w:tc>
        <w:tc>
          <w:tcPr>
            <w:tcW w:w="8670" w:type="dxa"/>
            <w:shd w:val="clear" w:color="auto" w:fill="FFFF00"/>
          </w:tcPr>
          <w:p w14:paraId="2A6FCE0A" w14:textId="77777777" w:rsidR="002155EE" w:rsidRPr="00191FC1" w:rsidRDefault="002155EE">
            <w:r w:rsidRPr="00191FC1">
              <w:fldChar w:fldCharType="begin">
        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        </w:fldChar>
            </w:r>
            <w:r w:rsidRPr="00191FC1">
              <w:instrText>ADDIN "&lt;NHS number&gt;"</w:instrText>
            </w:r>
            <w:r w:rsidRPr="00191FC1">
              <w:fldChar w:fldCharType="separate"/>
            </w:r>
            <w:r w:rsidRPr="00191FC1">
              <w:t>&lt;NHS number&gt;</w:t>
            </w:r>
            <w:r w:rsidRPr="00191FC1">
              <w:fldChar w:fldCharType="end"/>
            </w:r>
          </w:p>
        </w:tc>
      </w:tr>
      <w:tr w:rsidR="002155EE" w:rsidRPr="00191FC1" w14:paraId="51C4A992" w14:textId="77777777" w:rsidTr="00C00D1C">
        <w:tc>
          <w:tcPr>
            <w:tcW w:w="1790" w:type="dxa"/>
            <w:shd w:val="clear" w:color="auto" w:fill="auto"/>
          </w:tcPr>
          <w:p w14:paraId="1A931E5F" w14:textId="77777777" w:rsidR="002155EE" w:rsidRDefault="002155EE" w:rsidP="002155EE">
            <w:r>
              <w:t>Address:</w:t>
            </w:r>
          </w:p>
        </w:tc>
        <w:tc>
          <w:tcPr>
            <w:tcW w:w="8670" w:type="dxa"/>
            <w:shd w:val="clear" w:color="auto" w:fill="FFFF00"/>
          </w:tcPr>
          <w:p w14:paraId="1900E101" w14:textId="77777777" w:rsidR="002155EE" w:rsidRPr="00191FC1" w:rsidRDefault="002155EE">
            <w:r w:rsidRPr="00191FC1"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ACIAIABvAHUAdABwAHUAdABGAGkAZQBsAGQASQBkAHMAPQAiADEALAAyACwAMwAsADQALAA1ACwA
NgAiACAAbwB1AHQAcAB1AHQARgBpAGUAbABkAFcAaQBkAHQAaABzAD0AIgAlADEALAAlADEALAAl
ADEALAAlADEALAAlADEALAAlADEAIgAgAG8AdQB0AHAAdQB0AEYAaQBlAGwAZABOAG8AbgBFAG0A
cAB0AHkATwB2AGUAcgByAGkAZABlAFQAZQB4AHQAcwA9ACIALAAsACwALAAsACIAIABvAHUAdABw
AHUAdABGAGkAZQBsAGQAQwB1AHMAdABvAG0ARABlAHMAYwByAGkAcAB0AGkAbwBuAHMAPQAiACwA
LAAsACwALAAiACAAbwB1AHQAcAB1AHQARgBpAGUAbABkAEYAbwByAG0AYQB0AHMAPQAiACIAIABv
AHUAdABwAHUAdABCAG8AcgBkAGUAcgBUAHkAcABlAD0AIgAwACIAIAByAGUAYQBkAEMAbwBkAGUA
TQBhAHAAcABpAG4AZwBQAGEAcgBhAG0AZQB0AGUAcgBzAD0AIgAiACAAcwBoAG8AdwBUAGkAbQBl
AEYAbwByAE0AZQByAGcAZQBkAEQAbwBzAGUAQQBuAGQAVABpAG0AZQBzAD0AIgB5ACIAIABkAGUA
bABpAG0AaQB0AGUAcgA9ACIALAAgACIAIABuAGUAdwBMAGkAbgBlAD0AIgB5ACIAIABuAGUAdwBM
AGkAbgBlAEIAZQB0AHcAZQBlAG4ARQBuAHQAaQB0AGkAZQBzAD0AIgB5ACIAIABhAHUAdABvAEYA
aQB0AE0AbwBkAGUAPQAiADEAIgAgAGUAbQBwAHQAeQBUAGEAYgBsAGUATQBvAGQAZQA9ACIAMAAi
ACAAZQBtAHAAdAB5AFQAYQBiAGwAZQBUAGUAeAB0AD0AIgAiACAAVQBuAGQAZQByAEEAZwBlAD0A
IgAtADEAIgAgAFIAZQBsAGEAdABpAG8AbgBzAGgAaQBwAFQAeQBwAGUAcwA9ACIAIgAgAEEAbABs
AG8AdwBSAG8AdwBQAGEAZwBlAFMAcABsAGkAdAA9ACIAeQAiACAARgBpAHgAZQBkAFIAbwB3AEgA
ZQBpAGcAaAB0AD0AIgAtADEALgAwACIAIABOAHUAbQBTAHQAcgBpAHAAZQBzAD0AIgAtADEAIgAg
AEMAZQBsAGwAVABvAHAAPQAiADAALgAwACIAIABDAGUAbABsAEwAZQBmAHQAPQAiADAALgAxADkA
IgAgAEMAZQBsAGwAQgBvAHQAdABvAG0APQAiADAALgAwACIAIABDAGUAbABsAFIAaQBnAGgAdAA9
ACIAMAAuADEAOQAiACAAUgBlAG0AbwB2AGUARAB1AHAAbABpAGMAYQB0AGUAUgBvAHcAcwA9ACIA
eQAiACAAQQBkAGQAcgBlAHMAcwBUAHkAcABlAD0AIgAwACIALwA+AA==
</w:fldData>
              </w:fldChar>
            </w:r>
            <w:r w:rsidRPr="00191FC1">
              <w:instrText>ADDIN "&lt;Patient Address&gt;"</w:instrText>
            </w:r>
            <w:r w:rsidRPr="00191FC1">
              <w:fldChar w:fldCharType="separate"/>
            </w:r>
            <w:r w:rsidRPr="00191FC1">
              <w:t>&lt;Patient Address&gt;</w:t>
            </w:r>
            <w:r w:rsidRPr="00191FC1">
              <w:fldChar w:fldCharType="end"/>
            </w:r>
          </w:p>
        </w:tc>
      </w:tr>
      <w:tr w:rsidR="002155EE" w:rsidRPr="00191FC1" w14:paraId="2497787E" w14:textId="77777777" w:rsidTr="00C00D1C">
        <w:tc>
          <w:tcPr>
            <w:tcW w:w="1790" w:type="dxa"/>
            <w:shd w:val="clear" w:color="auto" w:fill="auto"/>
          </w:tcPr>
          <w:p w14:paraId="00AA2773" w14:textId="77777777" w:rsidR="002155EE" w:rsidRDefault="002155EE" w:rsidP="002155EE">
            <w:r>
              <w:t>Contact:</w:t>
            </w:r>
          </w:p>
        </w:tc>
        <w:tc>
          <w:tcPr>
            <w:tcW w:w="8670" w:type="dxa"/>
            <w:shd w:val="clear" w:color="auto" w:fill="FFFF00"/>
          </w:tcPr>
          <w:p w14:paraId="1AB81F5A" w14:textId="77777777" w:rsidR="002155EE" w:rsidRPr="00191FC1" w:rsidRDefault="002155EE">
            <w:r w:rsidRPr="00191FC1"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AHUAdABGAGkAZQBsAGQASQBkAHMAPQAiADEALAAyACwAMwAsADYAIgAgAG8AdQB0AHAAdQB0AEYA
aQBlAGwAZABXAGkAZAB0AGgAcwA9ACIAJQAxACwAJQAxACwAJQAxACwAJQAxACIAIABvAHUAdABw
AHUAdABGAGkAZQBsAGQATgBvAG4ARQBtAHAAdAB5AE8AdgBlAHIAcgBpAGQAZQBUAGUAeAB0AHMA
PQAiACwALAAsACIAIABvAHUAdABwAHUAdABGAGkAZQBsAGQAQwB1AHMAdABvAG0ARABlAHMAYwBy
AGkAcAB0AGkAbwBuAHMAPQAiACwALAAsACIAIABvAHUAdABwAHUAdABGAGkAZQBsAGQARgBvAHIA
bQBhAHQAcwA9ACIAIgAgAG8AdQB0AHAAdQB0AEIAbwByAGQAZQByAFQAeQBwAGUAPQAiADAAIgAg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bABUAG8AcAA9ACIAMAAuADAAIgAgAEMAZQBsAGwATABlAGYAdAA9ACIAMAAuADEAOQAiACAAQwBl
AGwAbABCAG8AdAB0AG8AbQA9ACIAMAAuADAAIgAgAEMAZQBsAGwAUgBpAGcAaAB0AD0AIgAwAC4A
MQA5ACIAIABSAGUAbQBvAHYAZQBEAHUAcABsAGkAYwBhAHQAZQBSAG8AdwBzAD0AIgB5ACIALwA+
AA==
</w:fldData>
              </w:fldChar>
            </w:r>
            <w:r w:rsidRPr="00191FC1">
              <w:instrText>ADDIN "&lt;Patient Contact Details&gt;"</w:instrText>
            </w:r>
            <w:r w:rsidRPr="00191FC1">
              <w:fldChar w:fldCharType="separate"/>
            </w:r>
            <w:r w:rsidRPr="00191FC1">
              <w:t>&lt;Patient Contact Details&gt;</w:t>
            </w:r>
            <w:r w:rsidRPr="00191FC1">
              <w:fldChar w:fldCharType="end"/>
            </w:r>
          </w:p>
        </w:tc>
      </w:tr>
    </w:tbl>
    <w:p w14:paraId="5CEFCE6C" w14:textId="4D991F49" w:rsidR="00C00D1C" w:rsidRPr="00C50BDC" w:rsidRDefault="00C00D1C" w:rsidP="00C00D1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Please note r</w:t>
      </w:r>
      <w:r w:rsidRPr="00C50BDC">
        <w:rPr>
          <w:b/>
          <w:bCs/>
          <w:sz w:val="22"/>
          <w:szCs w:val="22"/>
        </w:rPr>
        <w:t xml:space="preserve">eferral age range: 16 years or above. </w:t>
      </w:r>
    </w:p>
    <w:p w14:paraId="61F652F9" w14:textId="77777777" w:rsidR="000C323B" w:rsidRDefault="000C32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E32AA1" w14:paraId="7D611602" w14:textId="77777777" w:rsidTr="00E32AA1">
        <w:tc>
          <w:tcPr>
            <w:tcW w:w="5225" w:type="dxa"/>
          </w:tcPr>
          <w:p w14:paraId="5C99D54F" w14:textId="7B19EC9C" w:rsidR="00E32AA1" w:rsidRDefault="00E32AA1" w:rsidP="00E32AA1">
            <w:pPr>
              <w:rPr>
                <w:b/>
                <w:bCs/>
              </w:rPr>
            </w:pPr>
            <w:r w:rsidRPr="00C00D1C">
              <w:rPr>
                <w:b/>
                <w:bCs/>
              </w:rPr>
              <w:t>Eligibility</w:t>
            </w:r>
            <w:r>
              <w:rPr>
                <w:b/>
                <w:bCs/>
              </w:rPr>
              <w:t xml:space="preserve"> Criteria</w:t>
            </w:r>
            <w:r w:rsidRPr="00C00D1C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p w14:paraId="492E8296" w14:textId="77777777" w:rsidR="00E32AA1" w:rsidRDefault="00E32AA1" w:rsidP="008345B4">
            <w:pPr>
              <w:rPr>
                <w:b/>
                <w:bCs/>
              </w:rPr>
            </w:pPr>
          </w:p>
        </w:tc>
        <w:tc>
          <w:tcPr>
            <w:tcW w:w="5225" w:type="dxa"/>
          </w:tcPr>
          <w:p w14:paraId="18548438" w14:textId="09E41D2C" w:rsidR="00E32AA1" w:rsidRDefault="00E32AA1" w:rsidP="008345B4">
            <w:pPr>
              <w:rPr>
                <w:b/>
                <w:bCs/>
              </w:rPr>
            </w:pPr>
            <w:r>
              <w:rPr>
                <w:b/>
                <w:bCs/>
                <w:szCs w:val="28"/>
              </w:rPr>
              <w:t xml:space="preserve">Patient needs to apply to all the below eligibility to be referred: </w:t>
            </w:r>
          </w:p>
        </w:tc>
      </w:tr>
      <w:tr w:rsidR="00E32AA1" w14:paraId="0FA4F34F" w14:textId="77777777" w:rsidTr="00E32AA1">
        <w:tc>
          <w:tcPr>
            <w:tcW w:w="5225" w:type="dxa"/>
          </w:tcPr>
          <w:p w14:paraId="356D95FA" w14:textId="0F3939A5" w:rsidR="00E32AA1" w:rsidRPr="006723F7" w:rsidRDefault="00E32AA1" w:rsidP="00E32AA1">
            <w:pPr>
              <w:rPr>
                <w:rFonts w:cs="Calibri"/>
                <w:sz w:val="22"/>
              </w:rPr>
            </w:pPr>
            <w:r w:rsidRPr="006723F7">
              <w:rPr>
                <w:rFonts w:cs="Calibri"/>
                <w:sz w:val="22"/>
              </w:rPr>
              <w:t>SARS-CoV-2 infection is confirmed by polymerase chain reaction (PCR</w:t>
            </w:r>
            <w:r w:rsidR="002869C1">
              <w:rPr>
                <w:rFonts w:cs="Calibri"/>
                <w:sz w:val="22"/>
              </w:rPr>
              <w:t>/Lateral flow</w:t>
            </w:r>
            <w:r w:rsidRPr="006723F7">
              <w:rPr>
                <w:rFonts w:cs="Calibri"/>
                <w:sz w:val="22"/>
              </w:rPr>
              <w:t>) testing within the last 72 hours</w:t>
            </w:r>
          </w:p>
          <w:p w14:paraId="0D8AF7E9" w14:textId="77777777" w:rsidR="00E32AA1" w:rsidRPr="00C00D1C" w:rsidRDefault="00E32AA1" w:rsidP="00E32AA1">
            <w:pPr>
              <w:rPr>
                <w:b/>
                <w:bCs/>
              </w:rPr>
            </w:pPr>
          </w:p>
        </w:tc>
        <w:tc>
          <w:tcPr>
            <w:tcW w:w="5225" w:type="dxa"/>
            <w:shd w:val="clear" w:color="auto" w:fill="FFFF00"/>
          </w:tcPr>
          <w:p w14:paraId="275554DA" w14:textId="77777777" w:rsidR="00E32AA1" w:rsidRPr="00C00D1C" w:rsidRDefault="00E32AA1" w:rsidP="008345B4">
            <w:pPr>
              <w:rPr>
                <w:b/>
                <w:bCs/>
                <w:szCs w:val="28"/>
              </w:rPr>
            </w:pPr>
          </w:p>
        </w:tc>
      </w:tr>
      <w:tr w:rsidR="00E32AA1" w14:paraId="21600BC2" w14:textId="77777777" w:rsidTr="00E32AA1">
        <w:tc>
          <w:tcPr>
            <w:tcW w:w="5225" w:type="dxa"/>
          </w:tcPr>
          <w:p w14:paraId="01767009" w14:textId="77777777" w:rsidR="00E32AA1" w:rsidRPr="006723F7" w:rsidRDefault="00E32AA1" w:rsidP="00E32AA1">
            <w:pPr>
              <w:rPr>
                <w:rFonts w:cs="Calibri"/>
                <w:sz w:val="22"/>
              </w:rPr>
            </w:pPr>
            <w:r w:rsidRPr="006723F7">
              <w:rPr>
                <w:rFonts w:cs="Calibri"/>
                <w:sz w:val="22"/>
              </w:rPr>
              <w:t>Onset of symptoms of COVID-19 symptoms within the last 7 days</w:t>
            </w:r>
          </w:p>
          <w:p w14:paraId="5E5B80B9" w14:textId="77777777" w:rsidR="00E32AA1" w:rsidRPr="006723F7" w:rsidRDefault="00E32AA1" w:rsidP="00E32AA1">
            <w:pPr>
              <w:rPr>
                <w:rFonts w:cs="Calibri"/>
                <w:sz w:val="22"/>
              </w:rPr>
            </w:pPr>
          </w:p>
        </w:tc>
        <w:tc>
          <w:tcPr>
            <w:tcW w:w="5225" w:type="dxa"/>
            <w:shd w:val="clear" w:color="auto" w:fill="FFFF00"/>
          </w:tcPr>
          <w:p w14:paraId="77660F26" w14:textId="77777777" w:rsidR="00E32AA1" w:rsidRPr="00C00D1C" w:rsidRDefault="00E32AA1" w:rsidP="008345B4">
            <w:pPr>
              <w:rPr>
                <w:b/>
                <w:bCs/>
                <w:szCs w:val="28"/>
              </w:rPr>
            </w:pPr>
          </w:p>
        </w:tc>
      </w:tr>
      <w:tr w:rsidR="00E32AA1" w14:paraId="33AB077F" w14:textId="77777777" w:rsidTr="00E32AA1">
        <w:tc>
          <w:tcPr>
            <w:tcW w:w="5225" w:type="dxa"/>
          </w:tcPr>
          <w:p w14:paraId="711E43D1" w14:textId="434B6DCD" w:rsidR="00E32AA1" w:rsidRPr="006723F7" w:rsidRDefault="00E32AA1" w:rsidP="00E32AA1">
            <w:pPr>
              <w:rPr>
                <w:rFonts w:cs="Calibri"/>
                <w:sz w:val="22"/>
              </w:rPr>
            </w:pPr>
            <w:r w:rsidRPr="006723F7">
              <w:rPr>
                <w:rFonts w:cs="Calibri"/>
                <w:sz w:val="22"/>
              </w:rPr>
              <w:t>A member of a ‘highest’ risk group</w:t>
            </w:r>
          </w:p>
        </w:tc>
        <w:tc>
          <w:tcPr>
            <w:tcW w:w="5225" w:type="dxa"/>
            <w:shd w:val="clear" w:color="auto" w:fill="FFFF00"/>
          </w:tcPr>
          <w:p w14:paraId="311CA9CE" w14:textId="77777777" w:rsidR="00E32AA1" w:rsidRPr="00C00D1C" w:rsidRDefault="00E32AA1" w:rsidP="008345B4">
            <w:pPr>
              <w:rPr>
                <w:b/>
                <w:bCs/>
                <w:szCs w:val="28"/>
              </w:rPr>
            </w:pPr>
          </w:p>
        </w:tc>
      </w:tr>
    </w:tbl>
    <w:p w14:paraId="2BD30190" w14:textId="7E019A7F" w:rsidR="008345B4" w:rsidRDefault="008345B4"/>
    <w:p w14:paraId="407E6C58" w14:textId="3FC49E9A" w:rsidR="008345B4" w:rsidRDefault="008345B4">
      <w:pPr>
        <w:rPr>
          <w:b/>
          <w:bCs/>
        </w:rPr>
      </w:pPr>
      <w:r w:rsidRPr="00C00D1C">
        <w:rPr>
          <w:b/>
          <w:bCs/>
        </w:rPr>
        <w:t>Nationally designated high-risk categories and do not require hospital administration: (please tick high-risk category)</w:t>
      </w:r>
    </w:p>
    <w:p w14:paraId="7505428C" w14:textId="77777777" w:rsidR="00E32AA1" w:rsidRPr="00E32AA1" w:rsidRDefault="00E32AA1">
      <w:pPr>
        <w:rPr>
          <w:b/>
          <w:bC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096"/>
        <w:gridCol w:w="4110"/>
      </w:tblGrid>
      <w:tr w:rsidR="00C86B0C" w14:paraId="6F39B9EE" w14:textId="77777777" w:rsidTr="00C00D1C">
        <w:tc>
          <w:tcPr>
            <w:tcW w:w="6096" w:type="dxa"/>
          </w:tcPr>
          <w:p w14:paraId="63C5EB23" w14:textId="360294C7" w:rsidR="00C86B0C" w:rsidRPr="00C00D1C" w:rsidRDefault="00C86B0C" w:rsidP="00C86B0C">
            <w:pPr>
              <w:rPr>
                <w:rFonts w:cs="Calibri"/>
                <w:b/>
                <w:bCs/>
                <w:szCs w:val="28"/>
              </w:rPr>
            </w:pPr>
            <w:r w:rsidRPr="00C00D1C">
              <w:rPr>
                <w:rFonts w:cs="Calibri"/>
                <w:b/>
                <w:bCs/>
                <w:szCs w:val="28"/>
              </w:rPr>
              <w:t xml:space="preserve">High Risk Condition </w:t>
            </w:r>
          </w:p>
        </w:tc>
        <w:tc>
          <w:tcPr>
            <w:tcW w:w="4110" w:type="dxa"/>
          </w:tcPr>
          <w:p w14:paraId="3ADA9959" w14:textId="6B8FC52B" w:rsidR="00C86B0C" w:rsidRPr="00C00D1C" w:rsidRDefault="00C86B0C" w:rsidP="00C86B0C">
            <w:pPr>
              <w:rPr>
                <w:b/>
                <w:bCs/>
                <w:szCs w:val="28"/>
              </w:rPr>
            </w:pPr>
            <w:r w:rsidRPr="00C00D1C">
              <w:rPr>
                <w:b/>
                <w:bCs/>
                <w:szCs w:val="28"/>
              </w:rPr>
              <w:t>Please mark ‘X’ for patient’s high-risk category</w:t>
            </w:r>
          </w:p>
        </w:tc>
      </w:tr>
      <w:tr w:rsidR="008345B4" w14:paraId="5F24552C" w14:textId="77777777" w:rsidTr="00ED44AF">
        <w:tc>
          <w:tcPr>
            <w:tcW w:w="6096" w:type="dxa"/>
          </w:tcPr>
          <w:p w14:paraId="1A91FF1D" w14:textId="3447B3F4" w:rsidR="008345B4" w:rsidRPr="00C00D1C" w:rsidRDefault="00C86B0C" w:rsidP="00C86B0C">
            <w:pPr>
              <w:rPr>
                <w:rFonts w:cs="Calibri"/>
                <w:sz w:val="22"/>
                <w:szCs w:val="22"/>
              </w:rPr>
            </w:pPr>
            <w:r w:rsidRPr="00C00D1C">
              <w:rPr>
                <w:rFonts w:cs="Calibri"/>
                <w:sz w:val="22"/>
                <w:szCs w:val="22"/>
              </w:rPr>
              <w:t>Down’s syndrome and other genetic disorders</w:t>
            </w:r>
          </w:p>
        </w:tc>
        <w:tc>
          <w:tcPr>
            <w:tcW w:w="4110" w:type="dxa"/>
            <w:shd w:val="clear" w:color="auto" w:fill="FFFF00"/>
          </w:tcPr>
          <w:p w14:paraId="6DF4B082" w14:textId="77777777" w:rsidR="008345B4" w:rsidRPr="00ED44AF" w:rsidRDefault="008345B4" w:rsidP="00C86B0C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8345B4" w14:paraId="627F0C4E" w14:textId="77777777" w:rsidTr="00ED44AF">
        <w:tc>
          <w:tcPr>
            <w:tcW w:w="6096" w:type="dxa"/>
          </w:tcPr>
          <w:p w14:paraId="0FE47332" w14:textId="26FAB12C" w:rsidR="008345B4" w:rsidRPr="00C00D1C" w:rsidRDefault="00C86B0C" w:rsidP="00C86B0C">
            <w:pPr>
              <w:rPr>
                <w:sz w:val="22"/>
                <w:szCs w:val="22"/>
              </w:rPr>
            </w:pPr>
            <w:r w:rsidRPr="00C00D1C">
              <w:rPr>
                <w:sz w:val="22"/>
                <w:szCs w:val="22"/>
              </w:rPr>
              <w:t xml:space="preserve">Sickle cell disease </w:t>
            </w:r>
          </w:p>
        </w:tc>
        <w:tc>
          <w:tcPr>
            <w:tcW w:w="4110" w:type="dxa"/>
            <w:shd w:val="clear" w:color="auto" w:fill="FFFF00"/>
          </w:tcPr>
          <w:p w14:paraId="4A240275" w14:textId="6BDBDAFC" w:rsidR="008345B4" w:rsidRPr="00ED44AF" w:rsidRDefault="008345B4" w:rsidP="00C86B0C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8345B4" w14:paraId="4B8A7DED" w14:textId="77777777" w:rsidTr="00ED44AF">
        <w:tc>
          <w:tcPr>
            <w:tcW w:w="6096" w:type="dxa"/>
          </w:tcPr>
          <w:p w14:paraId="3F080951" w14:textId="6C12570A" w:rsidR="008345B4" w:rsidRPr="00C00D1C" w:rsidRDefault="00C86B0C" w:rsidP="00C86B0C">
            <w:pPr>
              <w:rPr>
                <w:sz w:val="22"/>
                <w:szCs w:val="22"/>
              </w:rPr>
            </w:pPr>
            <w:r w:rsidRPr="00C00D1C">
              <w:rPr>
                <w:sz w:val="22"/>
                <w:szCs w:val="22"/>
              </w:rPr>
              <w:t>Patients with a solid cancer</w:t>
            </w:r>
          </w:p>
        </w:tc>
        <w:tc>
          <w:tcPr>
            <w:tcW w:w="4110" w:type="dxa"/>
            <w:shd w:val="clear" w:color="auto" w:fill="FFFF00"/>
          </w:tcPr>
          <w:p w14:paraId="325A415E" w14:textId="77777777" w:rsidR="008345B4" w:rsidRPr="00ED44AF" w:rsidRDefault="008345B4" w:rsidP="00C86B0C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8345B4" w14:paraId="07A3ABCA" w14:textId="77777777" w:rsidTr="00ED44AF">
        <w:tc>
          <w:tcPr>
            <w:tcW w:w="6096" w:type="dxa"/>
          </w:tcPr>
          <w:p w14:paraId="1B0DD194" w14:textId="1D92846E" w:rsidR="008345B4" w:rsidRPr="00C00D1C" w:rsidRDefault="00C86B0C" w:rsidP="00C86B0C">
            <w:pPr>
              <w:rPr>
                <w:sz w:val="22"/>
                <w:szCs w:val="22"/>
              </w:rPr>
            </w:pPr>
            <w:r w:rsidRPr="00C00D1C">
              <w:rPr>
                <w:sz w:val="22"/>
                <w:szCs w:val="22"/>
              </w:rPr>
              <w:t xml:space="preserve">Patients with a haematologic malignancy </w:t>
            </w:r>
          </w:p>
        </w:tc>
        <w:tc>
          <w:tcPr>
            <w:tcW w:w="4110" w:type="dxa"/>
            <w:shd w:val="clear" w:color="auto" w:fill="FFFF00"/>
          </w:tcPr>
          <w:p w14:paraId="7C2DE47E" w14:textId="77777777" w:rsidR="008345B4" w:rsidRPr="00ED44AF" w:rsidRDefault="008345B4" w:rsidP="00C86B0C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C86B0C" w14:paraId="7D92A59A" w14:textId="77777777" w:rsidTr="00ED44AF">
        <w:tc>
          <w:tcPr>
            <w:tcW w:w="6096" w:type="dxa"/>
          </w:tcPr>
          <w:p w14:paraId="7964E7DE" w14:textId="42DF9F63" w:rsidR="00C86B0C" w:rsidRPr="00C00D1C" w:rsidRDefault="00C86B0C" w:rsidP="00C86B0C">
            <w:pPr>
              <w:rPr>
                <w:sz w:val="22"/>
                <w:szCs w:val="22"/>
              </w:rPr>
            </w:pPr>
            <w:r w:rsidRPr="00C00D1C">
              <w:rPr>
                <w:sz w:val="22"/>
                <w:szCs w:val="22"/>
              </w:rPr>
              <w:t>Patients with a renal disease</w:t>
            </w:r>
          </w:p>
        </w:tc>
        <w:tc>
          <w:tcPr>
            <w:tcW w:w="4110" w:type="dxa"/>
            <w:shd w:val="clear" w:color="auto" w:fill="FFFF00"/>
          </w:tcPr>
          <w:p w14:paraId="2F201A03" w14:textId="77777777" w:rsidR="00C86B0C" w:rsidRPr="00ED44AF" w:rsidRDefault="00C86B0C" w:rsidP="00C86B0C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C86B0C" w14:paraId="71F9F717" w14:textId="77777777" w:rsidTr="00ED44AF">
        <w:tc>
          <w:tcPr>
            <w:tcW w:w="6096" w:type="dxa"/>
          </w:tcPr>
          <w:p w14:paraId="654B41F5" w14:textId="4E796AAE" w:rsidR="00C86B0C" w:rsidRPr="00C00D1C" w:rsidRDefault="00C86B0C" w:rsidP="00C86B0C">
            <w:pPr>
              <w:rPr>
                <w:sz w:val="22"/>
                <w:szCs w:val="22"/>
              </w:rPr>
            </w:pPr>
            <w:r w:rsidRPr="00C00D1C">
              <w:rPr>
                <w:sz w:val="22"/>
                <w:szCs w:val="22"/>
              </w:rPr>
              <w:t>Patients with a liver disease – Cirrhosis only</w:t>
            </w:r>
          </w:p>
        </w:tc>
        <w:tc>
          <w:tcPr>
            <w:tcW w:w="4110" w:type="dxa"/>
            <w:shd w:val="clear" w:color="auto" w:fill="FFFF00"/>
          </w:tcPr>
          <w:p w14:paraId="132E4AD8" w14:textId="77777777" w:rsidR="00C86B0C" w:rsidRPr="00ED44AF" w:rsidRDefault="00C86B0C" w:rsidP="00C86B0C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C86B0C" w14:paraId="5CC04780" w14:textId="77777777" w:rsidTr="00ED44AF">
        <w:tc>
          <w:tcPr>
            <w:tcW w:w="6096" w:type="dxa"/>
          </w:tcPr>
          <w:p w14:paraId="7A7C1A94" w14:textId="3BE71F60" w:rsidR="00C86B0C" w:rsidRPr="00C00D1C" w:rsidRDefault="00C86B0C" w:rsidP="00C86B0C">
            <w:pPr>
              <w:rPr>
                <w:sz w:val="22"/>
                <w:szCs w:val="22"/>
              </w:rPr>
            </w:pPr>
            <w:r w:rsidRPr="00C00D1C">
              <w:rPr>
                <w:sz w:val="22"/>
                <w:szCs w:val="22"/>
              </w:rPr>
              <w:t xml:space="preserve">Patient with immune-medicated inflammatory disorders (IMID) </w:t>
            </w:r>
          </w:p>
        </w:tc>
        <w:tc>
          <w:tcPr>
            <w:tcW w:w="4110" w:type="dxa"/>
            <w:shd w:val="clear" w:color="auto" w:fill="FFFF00"/>
          </w:tcPr>
          <w:p w14:paraId="0614885F" w14:textId="77777777" w:rsidR="00C86B0C" w:rsidRPr="00ED44AF" w:rsidRDefault="00C86B0C" w:rsidP="00C86B0C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C86B0C" w14:paraId="0F6AF787" w14:textId="77777777" w:rsidTr="00ED44AF">
        <w:tc>
          <w:tcPr>
            <w:tcW w:w="6096" w:type="dxa"/>
          </w:tcPr>
          <w:p w14:paraId="3CB6A410" w14:textId="592DC5C7" w:rsidR="00C86B0C" w:rsidRPr="00C00D1C" w:rsidRDefault="00C86B0C" w:rsidP="00C86B0C">
            <w:pPr>
              <w:rPr>
                <w:sz w:val="22"/>
                <w:szCs w:val="22"/>
              </w:rPr>
            </w:pPr>
            <w:r w:rsidRPr="00C00D1C">
              <w:rPr>
                <w:sz w:val="22"/>
                <w:szCs w:val="22"/>
              </w:rPr>
              <w:t xml:space="preserve">Primary immune deficiencies </w:t>
            </w:r>
          </w:p>
        </w:tc>
        <w:tc>
          <w:tcPr>
            <w:tcW w:w="4110" w:type="dxa"/>
            <w:shd w:val="clear" w:color="auto" w:fill="FFFF00"/>
          </w:tcPr>
          <w:p w14:paraId="45C0C5A4" w14:textId="77777777" w:rsidR="00C86B0C" w:rsidRPr="00ED44AF" w:rsidRDefault="00C86B0C" w:rsidP="00C86B0C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C86B0C" w14:paraId="6ACA7787" w14:textId="77777777" w:rsidTr="00ED44AF">
        <w:tc>
          <w:tcPr>
            <w:tcW w:w="6096" w:type="dxa"/>
          </w:tcPr>
          <w:p w14:paraId="5EBB5079" w14:textId="6C5EBA14" w:rsidR="00C86B0C" w:rsidRPr="00C00D1C" w:rsidRDefault="00C86B0C" w:rsidP="00C86B0C">
            <w:pPr>
              <w:rPr>
                <w:sz w:val="22"/>
                <w:szCs w:val="22"/>
              </w:rPr>
            </w:pPr>
            <w:r w:rsidRPr="00C00D1C">
              <w:rPr>
                <w:sz w:val="22"/>
                <w:szCs w:val="22"/>
              </w:rPr>
              <w:t>HIV/AIDS – uncontrolled</w:t>
            </w:r>
          </w:p>
        </w:tc>
        <w:tc>
          <w:tcPr>
            <w:tcW w:w="4110" w:type="dxa"/>
            <w:shd w:val="clear" w:color="auto" w:fill="FFFF00"/>
          </w:tcPr>
          <w:p w14:paraId="530B1250" w14:textId="77777777" w:rsidR="00C86B0C" w:rsidRPr="00ED44AF" w:rsidRDefault="00C86B0C" w:rsidP="00C86B0C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C86B0C" w14:paraId="6FE550B4" w14:textId="77777777" w:rsidTr="00ED44AF">
        <w:tc>
          <w:tcPr>
            <w:tcW w:w="6096" w:type="dxa"/>
          </w:tcPr>
          <w:p w14:paraId="7FB4C796" w14:textId="7DFF6EC9" w:rsidR="00C86B0C" w:rsidRPr="00C00D1C" w:rsidRDefault="00C86B0C" w:rsidP="00C86B0C">
            <w:pPr>
              <w:rPr>
                <w:sz w:val="22"/>
                <w:szCs w:val="22"/>
              </w:rPr>
            </w:pPr>
            <w:r w:rsidRPr="00C00D1C">
              <w:rPr>
                <w:sz w:val="22"/>
                <w:szCs w:val="22"/>
              </w:rPr>
              <w:t>Solid organ transplant recipients</w:t>
            </w:r>
          </w:p>
        </w:tc>
        <w:tc>
          <w:tcPr>
            <w:tcW w:w="4110" w:type="dxa"/>
            <w:shd w:val="clear" w:color="auto" w:fill="FFFF00"/>
          </w:tcPr>
          <w:p w14:paraId="5559C4F2" w14:textId="77777777" w:rsidR="00C86B0C" w:rsidRPr="00ED44AF" w:rsidRDefault="00C86B0C" w:rsidP="00C86B0C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C86B0C" w14:paraId="6038CC38" w14:textId="77777777" w:rsidTr="00ED44AF">
        <w:tc>
          <w:tcPr>
            <w:tcW w:w="6096" w:type="dxa"/>
          </w:tcPr>
          <w:p w14:paraId="7EC4BC42" w14:textId="20A4C318" w:rsidR="00C86B0C" w:rsidRPr="00C00D1C" w:rsidRDefault="00C86B0C" w:rsidP="00C86B0C">
            <w:pPr>
              <w:rPr>
                <w:sz w:val="22"/>
                <w:szCs w:val="22"/>
              </w:rPr>
            </w:pPr>
            <w:r w:rsidRPr="00C00D1C">
              <w:rPr>
                <w:sz w:val="22"/>
                <w:szCs w:val="22"/>
              </w:rPr>
              <w:lastRenderedPageBreak/>
              <w:t xml:space="preserve">Rare neurological conditions </w:t>
            </w:r>
          </w:p>
        </w:tc>
        <w:tc>
          <w:tcPr>
            <w:tcW w:w="4110" w:type="dxa"/>
            <w:shd w:val="clear" w:color="auto" w:fill="FFFF00"/>
          </w:tcPr>
          <w:p w14:paraId="5C771A4C" w14:textId="77777777" w:rsidR="00C86B0C" w:rsidRPr="00ED44AF" w:rsidRDefault="00C86B0C" w:rsidP="00C86B0C">
            <w:pPr>
              <w:rPr>
                <w:sz w:val="22"/>
                <w:szCs w:val="22"/>
                <w:highlight w:val="yellow"/>
              </w:rPr>
            </w:pPr>
          </w:p>
        </w:tc>
      </w:tr>
    </w:tbl>
    <w:p w14:paraId="51E59794" w14:textId="77777777" w:rsidR="00E32AA1" w:rsidRDefault="00E32AA1">
      <w:pPr>
        <w:rPr>
          <w:b/>
        </w:rPr>
      </w:pPr>
    </w:p>
    <w:p w14:paraId="5E5C930B" w14:textId="3C8EEB4C" w:rsidR="00C00D1C" w:rsidRDefault="00C00D1C">
      <w:pPr>
        <w:rPr>
          <w:b/>
        </w:rPr>
      </w:pPr>
      <w:r>
        <w:rPr>
          <w:b/>
        </w:rPr>
        <w:t>Exclusions:</w:t>
      </w:r>
    </w:p>
    <w:p w14:paraId="54D7F6EF" w14:textId="77777777" w:rsidR="00C00D1C" w:rsidRDefault="00C00D1C" w:rsidP="00C00D1C">
      <w:pPr>
        <w:rPr>
          <w:rFonts w:cs="Calibri"/>
          <w:sz w:val="22"/>
        </w:rPr>
      </w:pPr>
    </w:p>
    <w:p w14:paraId="1CAD9C99" w14:textId="51634AA0" w:rsidR="00C00D1C" w:rsidRPr="006723F7" w:rsidRDefault="00C00D1C" w:rsidP="00C00D1C">
      <w:pPr>
        <w:rPr>
          <w:rFonts w:cs="Calibri"/>
          <w:sz w:val="22"/>
        </w:rPr>
      </w:pPr>
      <w:r w:rsidRPr="006723F7">
        <w:rPr>
          <w:rFonts w:cs="Calibri"/>
          <w:sz w:val="22"/>
        </w:rPr>
        <w:t xml:space="preserve">Any patient that does not meet the eligibility criteria outlined in the clinical policy or the nationally designated </w:t>
      </w:r>
      <w:r w:rsidR="00ED44AF" w:rsidRPr="006723F7">
        <w:rPr>
          <w:rFonts w:cs="Calibri"/>
          <w:sz w:val="22"/>
        </w:rPr>
        <w:t>high-risk</w:t>
      </w:r>
      <w:r w:rsidRPr="006723F7">
        <w:rPr>
          <w:rFonts w:cs="Calibri"/>
          <w:sz w:val="22"/>
        </w:rPr>
        <w:t xml:space="preserve"> categories</w:t>
      </w:r>
      <w:r>
        <w:rPr>
          <w:rFonts w:cs="Calibri"/>
          <w:sz w:val="22"/>
        </w:rPr>
        <w:t xml:space="preserve"> (above)</w:t>
      </w:r>
      <w:r w:rsidRPr="006723F7">
        <w:rPr>
          <w:rFonts w:cs="Calibri"/>
          <w:sz w:val="22"/>
        </w:rPr>
        <w:t>.</w:t>
      </w:r>
    </w:p>
    <w:p w14:paraId="4B5D6855" w14:textId="77777777" w:rsidR="00C00D1C" w:rsidRPr="006723F7" w:rsidRDefault="00C00D1C" w:rsidP="00C00D1C">
      <w:pPr>
        <w:rPr>
          <w:rFonts w:cs="Calibri"/>
          <w:sz w:val="22"/>
        </w:rPr>
      </w:pPr>
      <w:r w:rsidRPr="006723F7">
        <w:rPr>
          <w:rFonts w:cs="Calibri"/>
          <w:sz w:val="22"/>
        </w:rPr>
        <w:t>Patients are not eligible for treatment if they meet any of the following:</w:t>
      </w:r>
    </w:p>
    <w:p w14:paraId="4C0AA144" w14:textId="0ABD53B8" w:rsidR="00C00D1C" w:rsidRDefault="00C00D1C" w:rsidP="00C00D1C">
      <w:pPr>
        <w:rPr>
          <w:rFonts w:cs="Calibri"/>
          <w:sz w:val="22"/>
        </w:rPr>
      </w:pPr>
      <w:r w:rsidRPr="006723F7">
        <w:rPr>
          <w:rFonts w:cs="Calibri"/>
          <w:sz w:val="22"/>
        </w:rPr>
        <w:t>• Require hospitalisation for COVID-19</w:t>
      </w:r>
    </w:p>
    <w:p w14:paraId="7949B0D9" w14:textId="7C2900A4" w:rsidR="00C00D1C" w:rsidRPr="006723F7" w:rsidRDefault="00C00D1C" w:rsidP="00C00D1C">
      <w:pPr>
        <w:rPr>
          <w:rFonts w:cs="Calibri"/>
          <w:sz w:val="22"/>
        </w:rPr>
      </w:pPr>
      <w:r w:rsidRPr="006723F7">
        <w:rPr>
          <w:rFonts w:cs="Calibri"/>
          <w:sz w:val="22"/>
        </w:rPr>
        <w:t>• Require supplemental oxygen</w:t>
      </w:r>
    </w:p>
    <w:p w14:paraId="16872365" w14:textId="77777777" w:rsidR="00ED44AF" w:rsidRDefault="00ED44AF">
      <w:pPr>
        <w:rPr>
          <w:b/>
        </w:rPr>
      </w:pPr>
    </w:p>
    <w:p w14:paraId="02C8DD0B" w14:textId="1C417736" w:rsidR="00C80F7B" w:rsidRDefault="00C80F7B">
      <w:pPr>
        <w:rPr>
          <w:b/>
        </w:rPr>
      </w:pPr>
      <w:r>
        <w:rPr>
          <w:b/>
        </w:rPr>
        <w:t>Repeat prescriptions: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C80F7B" w:rsidRPr="00191FC1" w14:paraId="6C6D0485" w14:textId="77777777" w:rsidTr="00191FC1"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ED49535" w14:textId="77777777" w:rsidR="00C80F7B" w:rsidRPr="00191FC1" w:rsidRDefault="00A24744">
            <w:pPr>
              <w:rPr>
                <w:b/>
              </w:rPr>
            </w:pPr>
            <w:r w:rsidRPr="00191FC1">
              <w:rPr>
                <w:b/>
              </w:rPr>
              <w:fldChar w:fldCharType="begin">
                <w:fldData xml:space="preserve">PAA/AHgAbQBsACAAdgBlAHIAcwBpAG8AbgA9ACIAMQAuADAAIgAgAGUAbgBjAG8AZABpAG4AZwA9
ACIAVQBUAEYALQA4ACIAIAA/AD4APAB0ACAAbQBlAHIAZwBlAD0AIgBSAGUAcABlAGEAdAAgAFQA
ZQBtAHAAbABhAHQAZQBzACIAIABvAHAAdABpAG8AbgBhAGwAUwB0AGEAdAB1AHMAPQAiADAAIgAg
AHIAZQBmAE4AYQBtAGUAPQAiACIAIABvAHUAdABwAHUAdABUAHkAcABlAD0AIgAwACIAIABvAHUA
dABwAHUAdABFAG0AcAB0AHkAVgBhAGwAdQBlAD0AIgBOAG8AbgBlACAAcgBlAGMAbwByAGQAZQBk
ACIAIABvAHUAdABwAHUAdABGAGkAZQBsAGQASQBkAHMAPQAiADcALAA5ACwAMQAwACIAIABvAHUA
dABwAHUAdABGAGkAZQBsAGQAVwBpAGQAdABoAHMAPQAiACUAMQAsACUAMQAsADUAMAAiACAAbwB1
AHQAcAB1AHQARgBpAGUAbABkAE4AbwBuAEUAbQBwAHQAeQBPAHYAZQByAHIAaQBkAGUAVABlAHgA
dABzAD0AIgAsACwAIgAgAG8AdQB0AHAAdQB0AEYAaQBlAGwAZABDAHUAcwB0AG8AbQBEAGUAcwBj
AHIAaQBwAHQAaQBvAG4AcwA9ACIALAAsACIAIABvAHUAdABwAHUAdABGAGkAZQBsAGQARgBvAHIA
bQBhAHQAcwA9ACIAIgAgAG8AdQB0AHAAdQB0AEIAbwByAGQAZQByAFQAeQBwAGUAPQAiADAAIgAg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bABUAG8AcAA9ACIAMAAuADAAIgAgAEMAZQBsAGwATABlAGYAdAA9ACIAMAAuADEAOQAiACAAQwBl
AGwAbABCAG8AdAB0AG8AbQA9ACIAMAAuADAAIgAgAEMAZQBsAGwAUgBpAGcAaAB0AD0AIgAwAC4A
MQA5ACIAIABSAGUAbQBvAHYAZQBEAHUAcABsAGkAYwBhAHQAZQBSAG8AdwBzAD0AIgB5ACIAIABU
AHkAcABlAEYAaQBsAHQAZQByAD0AIgAxACIALwA+AA==
</w:fldData>
              </w:fldChar>
            </w:r>
            <w:r w:rsidRPr="00191FC1">
              <w:rPr>
                <w:b/>
              </w:rPr>
              <w:instrText>ADDIN "&lt;Repeat Templates&gt;"</w:instrText>
            </w:r>
            <w:r w:rsidRPr="00191FC1">
              <w:rPr>
                <w:b/>
              </w:rPr>
            </w:r>
            <w:r w:rsidRPr="00191FC1">
              <w:rPr>
                <w:b/>
              </w:rPr>
              <w:fldChar w:fldCharType="separate"/>
            </w:r>
            <w:r w:rsidRPr="00191FC1">
              <w:rPr>
                <w:b/>
              </w:rPr>
              <w:t>&lt;Repeat Templates&gt;</w:t>
            </w:r>
            <w:r w:rsidRPr="00191FC1">
              <w:rPr>
                <w:b/>
              </w:rPr>
              <w:fldChar w:fldCharType="end"/>
            </w:r>
          </w:p>
        </w:tc>
      </w:tr>
    </w:tbl>
    <w:p w14:paraId="2D53533C" w14:textId="77777777" w:rsidR="00C80F7B" w:rsidRDefault="00C80F7B">
      <w:pPr>
        <w:rPr>
          <w:b/>
        </w:rPr>
      </w:pPr>
    </w:p>
    <w:p w14:paraId="70ACF471" w14:textId="77777777" w:rsidR="00C80F7B" w:rsidRDefault="00C80F7B">
      <w:pPr>
        <w:rPr>
          <w:b/>
        </w:rPr>
      </w:pPr>
      <w:r>
        <w:rPr>
          <w:b/>
        </w:rPr>
        <w:t>Referring GP and referral date: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C80F7B" w:rsidRPr="00191FC1" w14:paraId="3E927B1D" w14:textId="77777777" w:rsidTr="00191FC1"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62A967A" w14:textId="77777777" w:rsidR="00C80F7B" w:rsidRPr="00191FC1" w:rsidRDefault="00A24744">
            <w:pPr>
              <w:rPr>
                <w:b/>
              </w:rPr>
            </w:pPr>
            <w:r w:rsidRPr="00191FC1">
              <w:rPr>
                <w:b/>
              </w:rPr>
              <w:fldChar w:fldCharType="begin">
                <w:fldData xml:space="preserve">PAA/AHgAbQBsACAAdgBlAHIAcwBpAG8AbgA9ACIAMQAuADAAIgAgAGUAbgBjAG8AZABpAG4AZwA9
ACIAVQBUAEYALQA4ACIAIAA/AD4APAB0ACAAbQBlAHIAZwBlAD0AIgBUAG8AZABhAHkAcwAgAEQA
YQB0AGUAIABNAHUAbAB0AGkAIABDAGEAbABlAG4AZABhAHIAIgAgAG8AcAB0AGkAbwBuAGEAbABT
AHQAYQB0AHUAcwA9ACIAMAAiACAAcgBlAGYATgBhAG0AZQA9ACIAIgAgAEQAYQB5AD0AIgAtADEA
IgAgAEQAYQB0AGUAPQAiADAAIgAgAE0AbwBuAHQAaAA9ACIAMQAiACAAWQBlAGEAcgA9ACIAMQAi
ACAAVABpAG0AZQA9ACIALQAxACIAIABEAGUAbABpAG0APQAiACAAIgAvAD4A
</w:fldData>
              </w:fldChar>
            </w:r>
            <w:r w:rsidRPr="00191FC1">
              <w:rPr>
                <w:b/>
              </w:rPr>
              <w:instrText>ADDIN "&lt;Today's date&gt;"</w:instrText>
            </w:r>
            <w:r w:rsidRPr="00191FC1">
              <w:rPr>
                <w:b/>
              </w:rPr>
            </w:r>
            <w:r w:rsidRPr="00191FC1">
              <w:rPr>
                <w:b/>
              </w:rPr>
              <w:fldChar w:fldCharType="separate"/>
            </w:r>
            <w:r w:rsidRPr="00191FC1">
              <w:rPr>
                <w:b/>
              </w:rPr>
              <w:t>&lt;Today's date&gt;</w:t>
            </w:r>
            <w:r w:rsidRPr="00191FC1">
              <w:rPr>
                <w:b/>
              </w:rPr>
              <w:fldChar w:fldCharType="end"/>
            </w:r>
          </w:p>
          <w:p w14:paraId="1ADB90E0" w14:textId="77777777" w:rsidR="00A24744" w:rsidRPr="00191FC1" w:rsidRDefault="00A24744">
            <w:pPr>
              <w:rPr>
                <w:b/>
              </w:rPr>
            </w:pPr>
            <w:r w:rsidRPr="00191FC1">
              <w:rPr>
                <w:b/>
              </w:rPr>
              <w:fldChar w:fldCharType="begin">
                <w:fldData xml:space="preserve">PAA/AHgAbQBsACAAdgBlAHIAcwBpAG8AbgA9ACIAMQAuADAAIgAgAGUAbgBjAG8AZABpAG4AZwA9
ACIAVQBUAEYALQA4ACIAIAA/AD4APAB0ACAAbQBlAHIAZwBlAD0AIgBZAG8AdQByACAATgBhAG0A
ZQAiACAAbwBwAHQAaQBvAG4AYQBsAFMAdABhAHQAdQBzAD0AIgAwACIAIAByAGUAZgBOAGEAbQBl
AD0AIgAiACAAbwB1AHQAcAB1AHQAVAB5AHAAZQA9ACIAMAAiACAAbwB1AHQAcAB1AHQARQBtAHAA
dAB5AFYAYQBsAHUAZQA9ACIAIgAgAG8AdQB0AHAAdQB0AEYAaQBlAGwAZABJAGQAcwA9ACIAMQAs
ADIALAA2ACIAIABvAHUAdABwAHUAdABGAGkAZQBsAGQAVwBpAGQAdABoAHMAPQAiACUAMQAsACUA
MQAsACUAMQAiACAAbwB1AHQAcAB1AHQARgBpAGUAbABkAE4AbwBuAEUAbQBwAHQAeQBPAHYAZQBy
AHIAaQBkAGUAVABlAHgAdABzAD0AIgAsACwAIgAgAG8AdQB0AHAAdQB0AEYAaQBlAGwAZABDAHUA
cwB0AG8AbQBEAGUAcwBjAHIAaQBwAHQAaQBvAG4AcwA9ACIALAAsACIAIABvAHUAdABwAHUAdABG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ZQBBAG4AZABUAGkAbQBlAHMAPQAiAHkAIgAgAGQAZQBsAGkAbQBpAHQAZQByAD0AIgAgACIAIABu
AGUAdwBMAGkAbgBlAEIAZQB0AHcAZQBlAG4ARQBuAHQAaQB0AGkAZQBzAD0AIgB5ACIAIABhAHUA
dABvAEYAaQB0AE0AbwBkAGUAPQAiADEAIgAgAGUAbQBwAHQAeQBUAGEAYgBsAGUATQBvAGQAZQA9
ACIAMAAiACAAZQBtAHAAdAB5AFQAYQBiAGwAZQBUAGUAeAB0AD0AIgAiACAAVQBuAGQAZQByAEEA
ZwBlAD0AIgAtADEAIgAgAFIAZQBsAGEAdABpAG8AbgBzAGgAaQBwAFQAeQBwAGUAcwA9ACIAIgAg
AEEAbABsAG8AdwBSAG8AdwBQAGEAZwBlAFMAcABsAGkAdAA9ACIAeQAiACAARgBpAHgAZQBkAFIA
bwB3AEgAZQBpAGcAaAB0AD0AIgAtADEALgAwACIAIABOAHUAbQBTAHQAcgBpAHAAZQBzAD0AIgAt
ADEAIgAgAEMAZQBsAGwAVABvAHAAPQAiADAALgAwACIAIABDAGUAbABsAEwAZQBmAHQAPQAiADAA
LgAxADkAIgAgAEMAZQBsAGwAQgBvAHQAdABvAG0APQAiADAALgAwACIAIABDAGUAbABsAFIAaQBn
AGgAdAA9ACIAMAAuADEAOQAiACAAUgBlAG0AbwB2AGUARAB1AHAAbABpAGMAYQB0AGUAUgBvAHcA
cwA9ACIAeQAiAC8APgA=
</w:fldData>
              </w:fldChar>
            </w:r>
            <w:r w:rsidRPr="00191FC1">
              <w:rPr>
                <w:b/>
              </w:rPr>
              <w:instrText>ADDIN "&lt;Your Name&gt;"</w:instrText>
            </w:r>
            <w:r w:rsidRPr="00191FC1">
              <w:rPr>
                <w:b/>
              </w:rPr>
            </w:r>
            <w:r w:rsidRPr="00191FC1">
              <w:rPr>
                <w:b/>
              </w:rPr>
              <w:fldChar w:fldCharType="separate"/>
            </w:r>
            <w:r w:rsidRPr="00191FC1">
              <w:rPr>
                <w:b/>
              </w:rPr>
              <w:t>&lt;Your Name&gt;</w:t>
            </w:r>
            <w:r w:rsidRPr="00191FC1">
              <w:rPr>
                <w:b/>
              </w:rPr>
              <w:fldChar w:fldCharType="end"/>
            </w:r>
          </w:p>
          <w:p w14:paraId="7451B0F2" w14:textId="77777777" w:rsidR="00A24744" w:rsidRPr="00191FC1" w:rsidRDefault="00A24744">
            <w:pPr>
              <w:rPr>
                <w:b/>
              </w:rPr>
            </w:pPr>
            <w:r w:rsidRPr="00191FC1">
              <w:rPr>
                <w:b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dABpAG8AbgAgAEEAZABkAHIAZQBzAHMAIgAgAG8AcAB0AGkAbwBuAGEAbABTAHQAYQB0AHUAcwA9
ACIAMAAiACAAcgBlAGYATgBhAG0AZQA9ACIAIgAgAG8AdQB0AHAAdQB0AFQAeQBwAGUAPQAiADAA
IgAgAG8AdQB0AHAAdQB0AEUAbQBwAHQAeQBWAGEAbAB1AGUAPQAiACIAIABvAHUAdABwAHUAdABG
AGkAZQBsAGQASQBkAHMAPQAiADEALAAzACwANAAsADUALAA2ACwANwAiACAAbwB1AHQAcAB1AHQA
RgBpAGUAbABkAFcAaQBkAHQAaABzAD0AIgAlADEALAAlADEALAAlADEALAAlADEALAAlADEALAAl
ADEAIgAgAG8AdQB0AHAAdQB0AEYAaQBlAGwAZABOAG8AbgBFAG0AcAB0AHkATwB2AGUAcgByAGkA
ZABlAFQAZQB4AHQAcwA9ACIALAAsACwALAAsACIAIABvAHUAdABwAHUAdABGAGkAZQBsAGQAQwB1
AHMAdABvAG0ARABlAHMAYwByAGkAcAB0AGkAbwBuAHMAPQAiACwALAAsACwALAAiACAAbwB1AHQA
cAB1AHQARgBpAGUAbABkAEYAbwByAG0AYQB0AHMAPQAiACIAIABvAHUAdABwAHUAdABCAG8AcgBk
AGUAcgBUAHkAcABlAD0AIgAwACIAIAByAGUAYQBkAEMAbwBkAGUATQBhAHAAcABpAG4AZwBQAGEA
cgBhAG0AZQB0AGUAcgBzAD0AIgAiACAAcwBoAG8AdwBUAGkAbQBlAEYAbwByAE0AZQByAGcAZQBk
AEQAbwBzAGUAQQBuAGQAVABpAG0AZQBzAD0AIgB5ACIAIABkAGUAbABpAG0AaQB0AGUAcgA9ACIA
LAAgACIAIABuAGUAdwBMAGkAbgBlAD0AIgB5ACIAIABuAGUAdwBMAGkAbgBlAEIAZQB0AHcAZQBl
AG4ARQBuAHQAaQB0AGkAZQBzAD0AIgB5ACIAIABhAHUAdABvAEYAaQB0AE0AbwBkAGUAPQAiADEA
IgAgAGUAbQBwAHQAeQBUAGEAYgBsAGUATQBvAGQAZQA9ACIAMAAiACAAZQBtAHAAdAB5AFQAYQBi
AGwAZQBUAGUAeAB0AD0AIgAiACAAVQBuAGQAZQByAEEAZwBlAD0AIgAtADEAIgAgAFIAZQBsAGEA
dABpAG8AbgBzAGgAaQBwAFQAeQBwAGUAcwA9ACIAIgAgAEEAbABsAG8AdwBSAG8AdwBQAGEAZwBl
AFMAcABsAGkAdAA9ACIAeQAiACAARgBpAHgAZQBkAFIAbwB3AEgAZQBpAGcAaAB0AD0AIgAtADEA
LgAwACIAIABOAHUAbQBTAHQAcgBpAHAAZQBzAD0AIgAtADEAIgAgAEMAZQBsAGwAVABvAHAAPQAi
ADAALgAwACIAIABDAGUAbABsAEwAZQBmAHQAPQAiADAALgAxADkAIgAgAEMAZQBsAGwAQgBvAHQA
dABvAG0APQAiADAALgAwACIAIABDAGUAbABsAFIAaQBnAGgAdAA9ACIAMAAuADEAOQAiACAAUgBl
AG0AbwB2AGUARAB1AHAAbABpAGMAYQB0AGUAUgBvAHcAcwA9ACIAeQAiAC8APgA=
</w:fldData>
              </w:fldChar>
            </w:r>
            <w:r w:rsidRPr="00191FC1">
              <w:rPr>
                <w:b/>
              </w:rPr>
              <w:instrText>ADDIN "&lt;Organisation Address&gt;"</w:instrText>
            </w:r>
            <w:r w:rsidRPr="00191FC1">
              <w:rPr>
                <w:b/>
              </w:rPr>
            </w:r>
            <w:r w:rsidRPr="00191FC1">
              <w:rPr>
                <w:b/>
              </w:rPr>
              <w:fldChar w:fldCharType="separate"/>
            </w:r>
            <w:r w:rsidRPr="00191FC1">
              <w:rPr>
                <w:b/>
              </w:rPr>
              <w:t>&lt;Organisation Address&gt;</w:t>
            </w:r>
            <w:r w:rsidRPr="00191FC1">
              <w:rPr>
                <w:b/>
              </w:rPr>
              <w:fldChar w:fldCharType="end"/>
            </w:r>
          </w:p>
          <w:p w14:paraId="7CFE305E" w14:textId="77777777" w:rsidR="00A24744" w:rsidRPr="00191FC1" w:rsidRDefault="00A24744">
            <w:pPr>
              <w:rPr>
                <w:b/>
              </w:rPr>
            </w:pPr>
            <w:r w:rsidRPr="00191FC1">
              <w:rPr>
                <w:b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AGkAZQBsAGQASQBkAHMAPQAiADMAIgAgAG8AdQB0AHAAdQB0AEYAaQBlAGwAZABXAGkAZAB0AGgA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AD0AIgAwAC4AMQA5ACIAIABSAGUAbQBvAHYAZQBEAHUAcABsAGkAYwBhAHQAZQBSAG8AdwBzAD0A
IgB5ACIALwA+AA==
</w:fldData>
              </w:fldChar>
            </w:r>
            <w:r w:rsidRPr="00191FC1">
              <w:rPr>
                <w:b/>
              </w:rPr>
              <w:instrText>ADDIN "&lt;Organisation Details&gt;"</w:instrText>
            </w:r>
            <w:r w:rsidRPr="00191FC1">
              <w:rPr>
                <w:b/>
              </w:rPr>
            </w:r>
            <w:r w:rsidRPr="00191FC1">
              <w:rPr>
                <w:b/>
              </w:rPr>
              <w:fldChar w:fldCharType="separate"/>
            </w:r>
            <w:r w:rsidRPr="00191FC1">
              <w:rPr>
                <w:b/>
              </w:rPr>
              <w:t>&lt;Organisation Details&gt;</w:t>
            </w:r>
            <w:r w:rsidRPr="00191FC1">
              <w:rPr>
                <w:b/>
              </w:rPr>
              <w:fldChar w:fldCharType="end"/>
            </w:r>
          </w:p>
        </w:tc>
      </w:tr>
    </w:tbl>
    <w:p w14:paraId="7BBD96D5" w14:textId="58A98B04" w:rsidR="00057418" w:rsidRDefault="00057418" w:rsidP="00ED44AF">
      <w:pPr>
        <w:autoSpaceDE w:val="0"/>
        <w:autoSpaceDN w:val="0"/>
        <w:adjustRightInd w:val="0"/>
        <w:rPr>
          <w:rFonts w:cs="Calibri"/>
          <w:b/>
          <w:bCs/>
          <w:color w:val="000000"/>
          <w:u w:val="single"/>
        </w:rPr>
      </w:pPr>
      <w:bookmarkStart w:id="0" w:name="_Hlk81915849"/>
    </w:p>
    <w:p w14:paraId="08D5D4BB" w14:textId="77777777" w:rsidR="00ED44AF" w:rsidRDefault="00ED44AF" w:rsidP="00ED44AF">
      <w:pPr>
        <w:autoSpaceDE w:val="0"/>
        <w:autoSpaceDN w:val="0"/>
        <w:adjustRightInd w:val="0"/>
        <w:rPr>
          <w:rFonts w:cs="Calibri"/>
          <w:b/>
          <w:bCs/>
          <w:color w:val="000000"/>
        </w:rPr>
      </w:pPr>
    </w:p>
    <w:p w14:paraId="404FF40C" w14:textId="510D5DD7" w:rsidR="00ED44AF" w:rsidRPr="00ED44AF" w:rsidRDefault="00ED44AF" w:rsidP="00ED44AF">
      <w:pPr>
        <w:autoSpaceDE w:val="0"/>
        <w:autoSpaceDN w:val="0"/>
        <w:adjustRightInd w:val="0"/>
        <w:rPr>
          <w:rFonts w:cs="Calibri"/>
          <w:b/>
          <w:bCs/>
          <w:color w:val="000000"/>
        </w:rPr>
      </w:pPr>
      <w:r w:rsidRPr="00ED44AF">
        <w:rPr>
          <w:rFonts w:cs="Calibri"/>
          <w:b/>
          <w:bCs/>
          <w:color w:val="000000"/>
        </w:rPr>
        <w:t>Please send referral form and any queries to the following email address:</w:t>
      </w:r>
    </w:p>
    <w:p w14:paraId="7C1BC9F4" w14:textId="77777777" w:rsidR="00ED44AF" w:rsidRDefault="00ED44AF" w:rsidP="00ED44AF">
      <w:pPr>
        <w:autoSpaceDE w:val="0"/>
        <w:autoSpaceDN w:val="0"/>
        <w:adjustRightInd w:val="0"/>
        <w:rPr>
          <w:rFonts w:cs="Calibri"/>
          <w:color w:val="000000"/>
          <w:u w:val="single"/>
          <w:lang w:eastAsia="en-GB"/>
        </w:rPr>
      </w:pPr>
    </w:p>
    <w:p w14:paraId="634BB117" w14:textId="5FB9A312" w:rsidR="00F13422" w:rsidRDefault="00D67C0A" w:rsidP="00ED44AF">
      <w:pPr>
        <w:autoSpaceDE w:val="0"/>
        <w:autoSpaceDN w:val="0"/>
        <w:adjustRightInd w:val="0"/>
        <w:rPr>
          <w:rStyle w:val="Hyperlink"/>
          <w:rFonts w:cs="Calibri"/>
          <w:lang w:eastAsia="en-GB"/>
        </w:rPr>
      </w:pPr>
      <w:hyperlink r:id="rId7" w:history="1">
        <w:r w:rsidR="00ED44AF" w:rsidRPr="007A6C16">
          <w:rPr>
            <w:rStyle w:val="Hyperlink"/>
            <w:rFonts w:cs="Calibri"/>
            <w:lang w:eastAsia="en-GB"/>
          </w:rPr>
          <w:t>yhp.nmabstriage@nhs.net</w:t>
        </w:r>
      </w:hyperlink>
    </w:p>
    <w:p w14:paraId="6FB1CA0B" w14:textId="46E2219F" w:rsidR="00F13422" w:rsidRDefault="00F13422" w:rsidP="00ED44AF">
      <w:pPr>
        <w:autoSpaceDE w:val="0"/>
        <w:autoSpaceDN w:val="0"/>
        <w:adjustRightInd w:val="0"/>
        <w:rPr>
          <w:rStyle w:val="Hyperlink"/>
          <w:rFonts w:cs="Calibri"/>
          <w:lang w:eastAsia="en-GB"/>
        </w:rPr>
      </w:pPr>
    </w:p>
    <w:p w14:paraId="6C30A4AE" w14:textId="48CD0076" w:rsidR="00F13422" w:rsidRDefault="00F13422" w:rsidP="00ED44AF">
      <w:pPr>
        <w:autoSpaceDE w:val="0"/>
        <w:autoSpaceDN w:val="0"/>
        <w:adjustRightInd w:val="0"/>
        <w:rPr>
          <w:rStyle w:val="Hyperlink"/>
          <w:rFonts w:cs="Calibri"/>
          <w:lang w:eastAsia="en-GB"/>
        </w:rPr>
      </w:pPr>
    </w:p>
    <w:p w14:paraId="7B978050" w14:textId="5AC1F83E" w:rsidR="00F13422" w:rsidRDefault="00F13422" w:rsidP="00ED44AF">
      <w:pPr>
        <w:autoSpaceDE w:val="0"/>
        <w:autoSpaceDN w:val="0"/>
        <w:adjustRightInd w:val="0"/>
        <w:rPr>
          <w:rStyle w:val="Hyperlink"/>
          <w:rFonts w:cs="Calibri"/>
          <w:lang w:eastAsia="en-GB"/>
        </w:rPr>
      </w:pPr>
    </w:p>
    <w:p w14:paraId="5E5D37CA" w14:textId="589FF50C" w:rsidR="00F13422" w:rsidRDefault="00F13422" w:rsidP="00ED44AF">
      <w:pPr>
        <w:autoSpaceDE w:val="0"/>
        <w:autoSpaceDN w:val="0"/>
        <w:adjustRightInd w:val="0"/>
        <w:rPr>
          <w:rStyle w:val="Hyperlink"/>
          <w:rFonts w:cs="Calibri"/>
          <w:lang w:eastAsia="en-GB"/>
        </w:rPr>
      </w:pPr>
    </w:p>
    <w:p w14:paraId="0B88B01E" w14:textId="0DFA9FBB" w:rsidR="00F13422" w:rsidRDefault="00F13422" w:rsidP="00ED44AF">
      <w:pPr>
        <w:autoSpaceDE w:val="0"/>
        <w:autoSpaceDN w:val="0"/>
        <w:adjustRightInd w:val="0"/>
        <w:rPr>
          <w:rStyle w:val="Hyperlink"/>
          <w:rFonts w:cs="Calibri"/>
          <w:lang w:eastAsia="en-GB"/>
        </w:rPr>
      </w:pPr>
    </w:p>
    <w:p w14:paraId="62CE713E" w14:textId="20880371" w:rsidR="00F13422" w:rsidRDefault="00F13422" w:rsidP="00ED44AF">
      <w:pPr>
        <w:autoSpaceDE w:val="0"/>
        <w:autoSpaceDN w:val="0"/>
        <w:adjustRightInd w:val="0"/>
        <w:rPr>
          <w:rStyle w:val="Hyperlink"/>
          <w:rFonts w:cs="Calibri"/>
          <w:lang w:eastAsia="en-GB"/>
        </w:rPr>
      </w:pPr>
    </w:p>
    <w:p w14:paraId="1CF8C571" w14:textId="02A5237B" w:rsidR="00F13422" w:rsidRDefault="00F13422" w:rsidP="00ED44AF">
      <w:pPr>
        <w:autoSpaceDE w:val="0"/>
        <w:autoSpaceDN w:val="0"/>
        <w:adjustRightInd w:val="0"/>
        <w:rPr>
          <w:rStyle w:val="Hyperlink"/>
          <w:rFonts w:cs="Calibri"/>
          <w:lang w:eastAsia="en-GB"/>
        </w:rPr>
      </w:pPr>
    </w:p>
    <w:p w14:paraId="144EDA96" w14:textId="0046ED8E" w:rsidR="00F13422" w:rsidRDefault="00F13422" w:rsidP="00ED44AF">
      <w:pPr>
        <w:autoSpaceDE w:val="0"/>
        <w:autoSpaceDN w:val="0"/>
        <w:adjustRightInd w:val="0"/>
        <w:rPr>
          <w:rStyle w:val="Hyperlink"/>
          <w:rFonts w:cs="Calibri"/>
          <w:lang w:eastAsia="en-GB"/>
        </w:rPr>
      </w:pPr>
    </w:p>
    <w:p w14:paraId="3C1410C4" w14:textId="6C783E28" w:rsidR="00F13422" w:rsidRDefault="00F13422" w:rsidP="00ED44AF">
      <w:pPr>
        <w:autoSpaceDE w:val="0"/>
        <w:autoSpaceDN w:val="0"/>
        <w:adjustRightInd w:val="0"/>
        <w:rPr>
          <w:rStyle w:val="Hyperlink"/>
          <w:rFonts w:cs="Calibri"/>
          <w:lang w:eastAsia="en-GB"/>
        </w:rPr>
      </w:pPr>
    </w:p>
    <w:p w14:paraId="5BF58688" w14:textId="660DA22D" w:rsidR="00F13422" w:rsidRDefault="00F13422" w:rsidP="00ED44AF">
      <w:pPr>
        <w:autoSpaceDE w:val="0"/>
        <w:autoSpaceDN w:val="0"/>
        <w:adjustRightInd w:val="0"/>
        <w:rPr>
          <w:rStyle w:val="Hyperlink"/>
          <w:rFonts w:cs="Calibri"/>
          <w:lang w:eastAsia="en-GB"/>
        </w:rPr>
      </w:pPr>
    </w:p>
    <w:p w14:paraId="341390FC" w14:textId="34D8B9E0" w:rsidR="00F13422" w:rsidRDefault="00F13422" w:rsidP="00ED44AF">
      <w:pPr>
        <w:autoSpaceDE w:val="0"/>
        <w:autoSpaceDN w:val="0"/>
        <w:adjustRightInd w:val="0"/>
        <w:rPr>
          <w:rStyle w:val="Hyperlink"/>
          <w:rFonts w:cs="Calibri"/>
          <w:lang w:eastAsia="en-GB"/>
        </w:rPr>
      </w:pPr>
    </w:p>
    <w:p w14:paraId="795F9C8A" w14:textId="69F2DA9B" w:rsidR="00F13422" w:rsidRDefault="00F13422" w:rsidP="00ED44AF">
      <w:pPr>
        <w:autoSpaceDE w:val="0"/>
        <w:autoSpaceDN w:val="0"/>
        <w:adjustRightInd w:val="0"/>
        <w:rPr>
          <w:rStyle w:val="Hyperlink"/>
          <w:rFonts w:cs="Calibri"/>
          <w:lang w:eastAsia="en-GB"/>
        </w:rPr>
      </w:pPr>
    </w:p>
    <w:p w14:paraId="24B96D69" w14:textId="261F74AB" w:rsidR="00F13422" w:rsidRDefault="00F13422" w:rsidP="00ED44AF">
      <w:pPr>
        <w:autoSpaceDE w:val="0"/>
        <w:autoSpaceDN w:val="0"/>
        <w:adjustRightInd w:val="0"/>
        <w:rPr>
          <w:rStyle w:val="Hyperlink"/>
          <w:rFonts w:cs="Calibri"/>
          <w:lang w:eastAsia="en-GB"/>
        </w:rPr>
      </w:pPr>
    </w:p>
    <w:p w14:paraId="1FCB92F3" w14:textId="5D7F7399" w:rsidR="00F13422" w:rsidRDefault="00F13422" w:rsidP="00ED44AF">
      <w:pPr>
        <w:autoSpaceDE w:val="0"/>
        <w:autoSpaceDN w:val="0"/>
        <w:adjustRightInd w:val="0"/>
        <w:rPr>
          <w:rStyle w:val="Hyperlink"/>
          <w:rFonts w:cs="Calibri"/>
          <w:lang w:eastAsia="en-GB"/>
        </w:rPr>
      </w:pPr>
    </w:p>
    <w:p w14:paraId="7D82935D" w14:textId="15AF1118" w:rsidR="00F13422" w:rsidRDefault="00F13422" w:rsidP="00ED44AF">
      <w:pPr>
        <w:autoSpaceDE w:val="0"/>
        <w:autoSpaceDN w:val="0"/>
        <w:adjustRightInd w:val="0"/>
        <w:rPr>
          <w:rStyle w:val="Hyperlink"/>
          <w:rFonts w:cs="Calibri"/>
          <w:lang w:eastAsia="en-GB"/>
        </w:rPr>
      </w:pPr>
    </w:p>
    <w:p w14:paraId="782F8F38" w14:textId="4BA3C531" w:rsidR="00F13422" w:rsidRDefault="00F13422" w:rsidP="00ED44AF">
      <w:pPr>
        <w:autoSpaceDE w:val="0"/>
        <w:autoSpaceDN w:val="0"/>
        <w:adjustRightInd w:val="0"/>
        <w:rPr>
          <w:rStyle w:val="Hyperlink"/>
          <w:rFonts w:cs="Calibri"/>
          <w:lang w:eastAsia="en-GB"/>
        </w:rPr>
      </w:pPr>
    </w:p>
    <w:p w14:paraId="64D0B500" w14:textId="2B3C23E7" w:rsidR="00F13422" w:rsidRDefault="00F13422" w:rsidP="00ED44AF">
      <w:pPr>
        <w:autoSpaceDE w:val="0"/>
        <w:autoSpaceDN w:val="0"/>
        <w:adjustRightInd w:val="0"/>
        <w:rPr>
          <w:rStyle w:val="Hyperlink"/>
          <w:rFonts w:cs="Calibri"/>
          <w:lang w:eastAsia="en-GB"/>
        </w:rPr>
      </w:pPr>
    </w:p>
    <w:p w14:paraId="3D3A156F" w14:textId="43FBD0EE" w:rsidR="00F13422" w:rsidRDefault="00F13422" w:rsidP="00ED44AF">
      <w:pPr>
        <w:autoSpaceDE w:val="0"/>
        <w:autoSpaceDN w:val="0"/>
        <w:adjustRightInd w:val="0"/>
        <w:rPr>
          <w:rStyle w:val="Hyperlink"/>
          <w:rFonts w:cs="Calibri"/>
          <w:lang w:eastAsia="en-GB"/>
        </w:rPr>
      </w:pPr>
    </w:p>
    <w:p w14:paraId="2E8B0E4F" w14:textId="365EB8E2" w:rsidR="00F13422" w:rsidRDefault="00F13422" w:rsidP="00ED44AF">
      <w:pPr>
        <w:autoSpaceDE w:val="0"/>
        <w:autoSpaceDN w:val="0"/>
        <w:adjustRightInd w:val="0"/>
        <w:rPr>
          <w:rStyle w:val="Hyperlink"/>
          <w:rFonts w:cs="Calibri"/>
          <w:lang w:eastAsia="en-GB"/>
        </w:rPr>
      </w:pPr>
    </w:p>
    <w:p w14:paraId="6AE78F0A" w14:textId="1D3C509E" w:rsidR="00F13422" w:rsidRDefault="00F13422" w:rsidP="00ED44AF">
      <w:pPr>
        <w:autoSpaceDE w:val="0"/>
        <w:autoSpaceDN w:val="0"/>
        <w:adjustRightInd w:val="0"/>
        <w:rPr>
          <w:rStyle w:val="Hyperlink"/>
          <w:rFonts w:cs="Calibri"/>
          <w:lang w:eastAsia="en-GB"/>
        </w:rPr>
      </w:pPr>
    </w:p>
    <w:p w14:paraId="2DED84CE" w14:textId="31EAC5EA" w:rsidR="00F13422" w:rsidRDefault="00F13422" w:rsidP="00ED44AF">
      <w:pPr>
        <w:autoSpaceDE w:val="0"/>
        <w:autoSpaceDN w:val="0"/>
        <w:adjustRightInd w:val="0"/>
        <w:rPr>
          <w:rStyle w:val="Hyperlink"/>
          <w:rFonts w:cs="Calibri"/>
          <w:lang w:eastAsia="en-GB"/>
        </w:rPr>
      </w:pPr>
    </w:p>
    <w:p w14:paraId="16B75DBA" w14:textId="32893D54" w:rsidR="00F13422" w:rsidRDefault="00F13422" w:rsidP="00ED44AF">
      <w:pPr>
        <w:autoSpaceDE w:val="0"/>
        <w:autoSpaceDN w:val="0"/>
        <w:adjustRightInd w:val="0"/>
        <w:rPr>
          <w:rStyle w:val="Hyperlink"/>
          <w:rFonts w:cs="Calibri"/>
          <w:lang w:eastAsia="en-GB"/>
        </w:rPr>
      </w:pPr>
    </w:p>
    <w:p w14:paraId="56028785" w14:textId="2517C21F" w:rsidR="00F13422" w:rsidRDefault="00F13422" w:rsidP="00ED44AF">
      <w:pPr>
        <w:autoSpaceDE w:val="0"/>
        <w:autoSpaceDN w:val="0"/>
        <w:adjustRightInd w:val="0"/>
        <w:rPr>
          <w:rStyle w:val="Hyperlink"/>
          <w:rFonts w:cs="Calibri"/>
          <w:lang w:eastAsia="en-GB"/>
        </w:rPr>
      </w:pPr>
    </w:p>
    <w:p w14:paraId="1B7EE552" w14:textId="33FFB3A7" w:rsidR="00F13422" w:rsidRDefault="00F13422" w:rsidP="00ED44AF">
      <w:pPr>
        <w:autoSpaceDE w:val="0"/>
        <w:autoSpaceDN w:val="0"/>
        <w:adjustRightInd w:val="0"/>
        <w:rPr>
          <w:rStyle w:val="Hyperlink"/>
          <w:rFonts w:cs="Calibri"/>
          <w:lang w:eastAsia="en-GB"/>
        </w:rPr>
      </w:pPr>
    </w:p>
    <w:p w14:paraId="739BE961" w14:textId="1FB30615" w:rsidR="00F13422" w:rsidRDefault="00F13422" w:rsidP="00ED44AF">
      <w:pPr>
        <w:autoSpaceDE w:val="0"/>
        <w:autoSpaceDN w:val="0"/>
        <w:adjustRightInd w:val="0"/>
        <w:rPr>
          <w:rStyle w:val="Hyperlink"/>
          <w:rFonts w:cs="Calibri"/>
          <w:lang w:eastAsia="en-GB"/>
        </w:rPr>
      </w:pPr>
    </w:p>
    <w:p w14:paraId="31FD0FF3" w14:textId="22196F0E" w:rsidR="00F13422" w:rsidRDefault="00F13422" w:rsidP="00ED44AF">
      <w:pPr>
        <w:autoSpaceDE w:val="0"/>
        <w:autoSpaceDN w:val="0"/>
        <w:adjustRightInd w:val="0"/>
        <w:rPr>
          <w:rStyle w:val="Hyperlink"/>
          <w:rFonts w:cs="Calibri"/>
          <w:lang w:eastAsia="en-GB"/>
        </w:rPr>
      </w:pPr>
    </w:p>
    <w:p w14:paraId="44C63E48" w14:textId="029CCC8D" w:rsidR="00F13422" w:rsidRDefault="00F13422" w:rsidP="00ED44AF">
      <w:pPr>
        <w:autoSpaceDE w:val="0"/>
        <w:autoSpaceDN w:val="0"/>
        <w:adjustRightInd w:val="0"/>
        <w:rPr>
          <w:rStyle w:val="Hyperlink"/>
          <w:rFonts w:cs="Calibri"/>
          <w:lang w:eastAsia="en-GB"/>
        </w:rPr>
      </w:pPr>
    </w:p>
    <w:p w14:paraId="545FF08C" w14:textId="347B9F23" w:rsidR="00F13422" w:rsidRDefault="00F13422" w:rsidP="00ED44AF">
      <w:pPr>
        <w:autoSpaceDE w:val="0"/>
        <w:autoSpaceDN w:val="0"/>
        <w:adjustRightInd w:val="0"/>
        <w:rPr>
          <w:rStyle w:val="Hyperlink"/>
          <w:rFonts w:cs="Calibri"/>
          <w:lang w:eastAsia="en-GB"/>
        </w:rPr>
      </w:pPr>
    </w:p>
    <w:p w14:paraId="0594E346" w14:textId="68D6AB2B" w:rsidR="00F13422" w:rsidRDefault="00F13422" w:rsidP="00ED44AF">
      <w:pPr>
        <w:autoSpaceDE w:val="0"/>
        <w:autoSpaceDN w:val="0"/>
        <w:adjustRightInd w:val="0"/>
        <w:rPr>
          <w:rStyle w:val="Hyperlink"/>
          <w:rFonts w:cs="Calibri"/>
          <w:b/>
          <w:bCs/>
          <w:color w:val="auto"/>
          <w:u w:val="none"/>
          <w:lang w:eastAsia="en-GB"/>
        </w:rPr>
      </w:pPr>
    </w:p>
    <w:p w14:paraId="0E716F8F" w14:textId="5F94D666" w:rsidR="00F13422" w:rsidRDefault="00F13422" w:rsidP="00ED44AF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8"/>
          <w:szCs w:val="28"/>
        </w:rPr>
        <w:t xml:space="preserve">Patients’ cohorts considered at highest risk from COVID-19 and to be prioritised for treatment with </w:t>
      </w:r>
      <w:proofErr w:type="spellStart"/>
      <w:r>
        <w:rPr>
          <w:rFonts w:eastAsiaTheme="minorHAnsi"/>
          <w:b/>
          <w:bCs/>
          <w:color w:val="000000"/>
          <w:sz w:val="28"/>
          <w:szCs w:val="28"/>
        </w:rPr>
        <w:t>nMabs</w:t>
      </w:r>
      <w:proofErr w:type="spellEnd"/>
      <w:r>
        <w:rPr>
          <w:rFonts w:eastAsiaTheme="minorHAnsi"/>
          <w:b/>
          <w:bCs/>
          <w:color w:val="000000"/>
          <w:sz w:val="28"/>
          <w:szCs w:val="28"/>
        </w:rPr>
        <w:br/>
      </w:r>
      <w:r w:rsidRPr="00F13422">
        <w:rPr>
          <w:rFonts w:eastAsiaTheme="minorHAnsi"/>
          <w:color w:val="000000"/>
          <w:sz w:val="22"/>
          <w:szCs w:val="22"/>
        </w:rPr>
        <w:t>Reference:</w:t>
      </w:r>
      <w:r>
        <w:rPr>
          <w:rFonts w:eastAsiaTheme="minorHAnsi"/>
          <w:b/>
          <w:bCs/>
          <w:color w:val="000000"/>
          <w:sz w:val="22"/>
          <w:szCs w:val="22"/>
        </w:rPr>
        <w:t xml:space="preserve"> </w:t>
      </w:r>
      <w:r w:rsidRPr="00F13422">
        <w:rPr>
          <w:rFonts w:eastAsiaTheme="minorHAnsi"/>
          <w:color w:val="000000"/>
          <w:sz w:val="22"/>
          <w:szCs w:val="22"/>
        </w:rPr>
        <w:t>CMDU Primary Care Triage Service Specification 01212V1 Draft</w:t>
      </w:r>
    </w:p>
    <w:p w14:paraId="5FA936D5" w14:textId="77777777" w:rsidR="00F13422" w:rsidRPr="00F13422" w:rsidRDefault="00F13422" w:rsidP="00ED44AF">
      <w:pPr>
        <w:autoSpaceDE w:val="0"/>
        <w:autoSpaceDN w:val="0"/>
        <w:adjustRightInd w:val="0"/>
        <w:rPr>
          <w:rStyle w:val="Hyperlink"/>
          <w:rFonts w:cs="Calibri"/>
          <w:b/>
          <w:bCs/>
          <w:color w:val="auto"/>
          <w:sz w:val="22"/>
          <w:szCs w:val="22"/>
          <w:u w:val="none"/>
          <w:lang w:eastAsia="en-GB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2943"/>
        <w:gridCol w:w="6303"/>
      </w:tblGrid>
      <w:tr w:rsidR="00F13422" w14:paraId="626FDCD5" w14:textId="77777777" w:rsidTr="00947FF4">
        <w:tc>
          <w:tcPr>
            <w:tcW w:w="2943" w:type="dxa"/>
          </w:tcPr>
          <w:p w14:paraId="24556106" w14:textId="77777777" w:rsidR="00F13422" w:rsidRPr="0080790A" w:rsidRDefault="00F13422" w:rsidP="00947FF4">
            <w:pPr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80790A">
              <w:rPr>
                <w:rFonts w:asciiTheme="minorHAnsi" w:eastAsiaTheme="minorHAnsi" w:hAnsiTheme="minorHAnsi" w:cstheme="minorHAnsi"/>
                <w:b/>
                <w:bCs/>
                <w:color w:val="000000"/>
                <w:sz w:val="28"/>
                <w:szCs w:val="28"/>
              </w:rPr>
              <w:t>Cohort</w:t>
            </w:r>
          </w:p>
        </w:tc>
        <w:tc>
          <w:tcPr>
            <w:tcW w:w="6303" w:type="dxa"/>
          </w:tcPr>
          <w:p w14:paraId="7A77D694" w14:textId="77777777" w:rsidR="00F13422" w:rsidRPr="0080790A" w:rsidRDefault="00F13422" w:rsidP="00947FF4">
            <w:pPr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80790A">
              <w:rPr>
                <w:rFonts w:asciiTheme="minorHAnsi" w:eastAsiaTheme="minorHAnsi" w:hAnsiTheme="minorHAnsi" w:cstheme="minorHAnsi"/>
                <w:b/>
                <w:bCs/>
                <w:color w:val="000000"/>
                <w:sz w:val="28"/>
                <w:szCs w:val="28"/>
              </w:rPr>
              <w:t>Description</w:t>
            </w:r>
          </w:p>
        </w:tc>
      </w:tr>
      <w:tr w:rsidR="00F13422" w:rsidRPr="0080790A" w14:paraId="242DB861" w14:textId="77777777" w:rsidTr="00947FF4">
        <w:tc>
          <w:tcPr>
            <w:tcW w:w="2943" w:type="dxa"/>
          </w:tcPr>
          <w:p w14:paraId="7877B4F6" w14:textId="77777777" w:rsidR="00F13422" w:rsidRPr="0080790A" w:rsidRDefault="00F13422" w:rsidP="00947FF4">
            <w:pPr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</w:rPr>
            </w:pPr>
            <w:r w:rsidRPr="0080790A">
              <w:rPr>
                <w:rFonts w:asciiTheme="minorHAnsi" w:eastAsiaTheme="minorHAnsi" w:hAnsiTheme="minorHAnsi" w:cstheme="minorHAnsi"/>
                <w:bCs/>
                <w:color w:val="000000"/>
              </w:rPr>
              <w:t>Down’s Syndrome</w:t>
            </w:r>
          </w:p>
        </w:tc>
        <w:tc>
          <w:tcPr>
            <w:tcW w:w="6303" w:type="dxa"/>
          </w:tcPr>
          <w:p w14:paraId="23663C8D" w14:textId="77777777" w:rsidR="00F13422" w:rsidRPr="0080790A" w:rsidRDefault="00F13422" w:rsidP="00947FF4">
            <w:pPr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/>
              </w:rPr>
              <w:t>All patients with Down’s Syndrome</w:t>
            </w:r>
          </w:p>
        </w:tc>
      </w:tr>
      <w:tr w:rsidR="00F13422" w:rsidRPr="0080790A" w14:paraId="1A59372C" w14:textId="77777777" w:rsidTr="00947FF4">
        <w:tc>
          <w:tcPr>
            <w:tcW w:w="2943" w:type="dxa"/>
          </w:tcPr>
          <w:p w14:paraId="09071BD6" w14:textId="77777777" w:rsidR="00F13422" w:rsidRPr="0080790A" w:rsidRDefault="00F13422" w:rsidP="00947FF4">
            <w:pPr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/>
              </w:rPr>
              <w:t>Sickle Cell Disease</w:t>
            </w:r>
          </w:p>
        </w:tc>
        <w:tc>
          <w:tcPr>
            <w:tcW w:w="6303" w:type="dxa"/>
          </w:tcPr>
          <w:p w14:paraId="70C395DD" w14:textId="77777777" w:rsidR="00F13422" w:rsidRPr="0080790A" w:rsidRDefault="00F13422" w:rsidP="00947FF4">
            <w:pPr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/>
              </w:rPr>
              <w:t>All patients with a diagnosis of sickle cell disease</w:t>
            </w:r>
          </w:p>
        </w:tc>
      </w:tr>
      <w:tr w:rsidR="00F13422" w:rsidRPr="0080790A" w14:paraId="02AA1AB8" w14:textId="77777777" w:rsidTr="00947FF4">
        <w:tc>
          <w:tcPr>
            <w:tcW w:w="2943" w:type="dxa"/>
          </w:tcPr>
          <w:p w14:paraId="6BA65E6F" w14:textId="77777777" w:rsidR="00F13422" w:rsidRPr="0080790A" w:rsidRDefault="00F13422" w:rsidP="00947FF4">
            <w:pPr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/>
              </w:rPr>
              <w:t>Patients with solid cancer</w:t>
            </w:r>
          </w:p>
        </w:tc>
        <w:tc>
          <w:tcPr>
            <w:tcW w:w="6303" w:type="dxa"/>
          </w:tcPr>
          <w:p w14:paraId="6881C527" w14:textId="77777777" w:rsidR="00F13422" w:rsidRPr="00F96F6A" w:rsidRDefault="00F13422" w:rsidP="00F1342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rPr>
                <w:rFonts w:asciiTheme="minorHAnsi" w:eastAsiaTheme="minorHAnsi" w:hAnsiTheme="minorHAnsi" w:cstheme="minorHAnsi"/>
                <w:bCs/>
                <w:color w:val="000000"/>
              </w:rPr>
            </w:pPr>
            <w:r w:rsidRPr="00F96F6A">
              <w:rPr>
                <w:rFonts w:asciiTheme="minorHAnsi" w:eastAsiaTheme="minorHAnsi" w:hAnsiTheme="minorHAnsi" w:cstheme="minorHAnsi"/>
                <w:bCs/>
                <w:color w:val="000000"/>
              </w:rPr>
              <w:t>Active metastatic cancer and active solid cancers (at any stage)</w:t>
            </w:r>
          </w:p>
          <w:p w14:paraId="55755AAF" w14:textId="77777777" w:rsidR="00F13422" w:rsidRPr="003A24E5" w:rsidRDefault="00F13422" w:rsidP="00F13422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0790A">
              <w:rPr>
                <w:rFonts w:asciiTheme="minorHAnsi" w:hAnsiTheme="minorHAnsi" w:cstheme="minorHAnsi"/>
                <w:bCs/>
              </w:rPr>
              <w:t xml:space="preserve"> </w:t>
            </w:r>
            <w:r w:rsidRPr="003A24E5">
              <w:rPr>
                <w:rFonts w:asciiTheme="minorHAnsi" w:hAnsiTheme="minorHAnsi" w:cstheme="minorHAnsi"/>
                <w:sz w:val="22"/>
                <w:szCs w:val="22"/>
              </w:rPr>
              <w:t>All patients receiving chemotherapy within the last 3 months</w:t>
            </w:r>
          </w:p>
          <w:p w14:paraId="1224CC89" w14:textId="77777777" w:rsidR="00F13422" w:rsidRPr="003A24E5" w:rsidRDefault="00F13422" w:rsidP="00F13422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A24E5">
              <w:rPr>
                <w:rFonts w:asciiTheme="minorHAnsi" w:hAnsiTheme="minorHAnsi" w:cstheme="minorHAnsi"/>
                <w:sz w:val="22"/>
                <w:szCs w:val="22"/>
              </w:rPr>
              <w:t xml:space="preserve"> Patients receiving group B or C chemotherapy 3-12 months prior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(See appendix B)</w:t>
            </w:r>
          </w:p>
          <w:p w14:paraId="28C758E5" w14:textId="77777777" w:rsidR="00F13422" w:rsidRPr="0080790A" w:rsidRDefault="00F13422" w:rsidP="00F13422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</w:rPr>
            </w:pPr>
            <w:r w:rsidRPr="003A24E5">
              <w:rPr>
                <w:rFonts w:asciiTheme="minorHAnsi" w:hAnsiTheme="minorHAnsi" w:cstheme="minorHAnsi"/>
                <w:sz w:val="22"/>
                <w:szCs w:val="22"/>
              </w:rPr>
              <w:t xml:space="preserve"> Patients receiving radiotherapy within the last 6 months</w:t>
            </w:r>
          </w:p>
        </w:tc>
      </w:tr>
      <w:tr w:rsidR="00F13422" w:rsidRPr="0080790A" w14:paraId="0B316020" w14:textId="77777777" w:rsidTr="00947FF4">
        <w:tc>
          <w:tcPr>
            <w:tcW w:w="2943" w:type="dxa"/>
          </w:tcPr>
          <w:p w14:paraId="52CFA9EF" w14:textId="77777777" w:rsidR="00F13422" w:rsidRPr="0080790A" w:rsidRDefault="00F13422" w:rsidP="00947FF4">
            <w:pPr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/>
              </w:rPr>
              <w:t>Patients with a haematological malignancy</w:t>
            </w:r>
          </w:p>
        </w:tc>
        <w:tc>
          <w:tcPr>
            <w:tcW w:w="6303" w:type="dxa"/>
          </w:tcPr>
          <w:p w14:paraId="03B70C4C" w14:textId="77777777" w:rsidR="00F13422" w:rsidRPr="0080790A" w:rsidRDefault="00F13422" w:rsidP="00947FF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05F7B41" w14:textId="77777777" w:rsidR="00F13422" w:rsidRPr="0080790A" w:rsidRDefault="00F13422" w:rsidP="00F13422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0790A">
              <w:rPr>
                <w:rFonts w:asciiTheme="minorHAnsi" w:hAnsiTheme="minorHAnsi" w:cstheme="minorHAnsi"/>
                <w:sz w:val="22"/>
                <w:szCs w:val="22"/>
              </w:rPr>
              <w:t xml:space="preserve">Allogeneic haematopoietic stem cell transplant (HSCT) recipients in the last 12 months or active graft vs host disease (GVHD) regardless of time from transplant </w:t>
            </w:r>
          </w:p>
          <w:p w14:paraId="0A083692" w14:textId="77777777" w:rsidR="00F13422" w:rsidRPr="0080790A" w:rsidRDefault="00F13422" w:rsidP="00F13422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0790A">
              <w:rPr>
                <w:rFonts w:asciiTheme="minorHAnsi" w:hAnsiTheme="minorHAnsi" w:cstheme="minorHAnsi"/>
                <w:sz w:val="22"/>
                <w:szCs w:val="22"/>
              </w:rPr>
              <w:t xml:space="preserve"> Autologous HSCT recipients in the last 12 months </w:t>
            </w:r>
          </w:p>
          <w:p w14:paraId="78223D3A" w14:textId="77777777" w:rsidR="00F13422" w:rsidRDefault="00F13422" w:rsidP="00F13422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0790A">
              <w:rPr>
                <w:rFonts w:asciiTheme="minorHAnsi" w:hAnsiTheme="minorHAnsi" w:cstheme="minorHAnsi"/>
                <w:sz w:val="22"/>
                <w:szCs w:val="22"/>
              </w:rPr>
              <w:t xml:space="preserve"> Individuals with haematological malignancies who have o received </w:t>
            </w:r>
            <w:proofErr w:type="spellStart"/>
            <w:r w:rsidRPr="0080790A">
              <w:rPr>
                <w:rFonts w:asciiTheme="minorHAnsi" w:hAnsiTheme="minorHAnsi" w:cstheme="minorHAnsi"/>
                <w:sz w:val="22"/>
                <w:szCs w:val="22"/>
              </w:rPr>
              <w:t>chimaeric</w:t>
            </w:r>
            <w:proofErr w:type="spellEnd"/>
            <w:r w:rsidRPr="0080790A">
              <w:rPr>
                <w:rFonts w:asciiTheme="minorHAnsi" w:hAnsiTheme="minorHAnsi" w:cstheme="minorHAnsi"/>
                <w:sz w:val="22"/>
                <w:szCs w:val="22"/>
              </w:rPr>
              <w:t xml:space="preserve"> antigen receptor (CAR)-T cell therapy in the last 24 months, </w:t>
            </w:r>
            <w:proofErr w:type="gramStart"/>
            <w:r w:rsidRPr="0080790A">
              <w:rPr>
                <w:rFonts w:asciiTheme="minorHAnsi" w:hAnsiTheme="minorHAnsi" w:cstheme="minorHAnsi"/>
                <w:sz w:val="22"/>
                <w:szCs w:val="22"/>
              </w:rPr>
              <w:t xml:space="preserve">or </w:t>
            </w:r>
            <w:r w:rsidRPr="00F96F6A">
              <w:rPr>
                <w:rFonts w:asciiTheme="minorHAnsi" w:hAnsiTheme="minorHAnsi" w:cstheme="minorHAnsi"/>
                <w:sz w:val="22"/>
                <w:szCs w:val="22"/>
              </w:rPr>
              <w:t xml:space="preserve"> anti</w:t>
            </w:r>
            <w:proofErr w:type="gramEnd"/>
            <w:r w:rsidRPr="00F96F6A">
              <w:rPr>
                <w:rFonts w:asciiTheme="minorHAnsi" w:hAnsiTheme="minorHAnsi" w:cstheme="minorHAnsi"/>
                <w:sz w:val="22"/>
                <w:szCs w:val="22"/>
              </w:rPr>
              <w:t>-CD20 monoclonal antibody therapy in the last 12 months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493D121" w14:textId="77777777" w:rsidR="00F13422" w:rsidRPr="00F96F6A" w:rsidRDefault="00F13422" w:rsidP="00F13422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Individuals with haematological malignancies receiving systemic anti-cancer treatment (SACT) within the last 12 months except patients with chronic phase chronic myeloid leukaemia (CML) in molecular response or first or second line tyrosine kinase inhibitors (TKI). </w:t>
            </w:r>
          </w:p>
          <w:p w14:paraId="45CAD0F4" w14:textId="77777777" w:rsidR="00F13422" w:rsidRPr="00F96F6A" w:rsidRDefault="00F13422" w:rsidP="00F13422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All patients with myeloma (excluding MGUS) or chronic B-cell lymphoproliferative disorders (</w:t>
            </w:r>
            <w:proofErr w:type="gramStart"/>
            <w:r>
              <w:t>e.g.</w:t>
            </w:r>
            <w:proofErr w:type="gramEnd"/>
            <w:r>
              <w:t xml:space="preserve"> chronic lymphocytic leukaemia, follicular lymphoma) or myelodysplastic syndrome (MDS) who do not fit the criteria above.  </w:t>
            </w:r>
          </w:p>
          <w:p w14:paraId="10BF050C" w14:textId="77777777" w:rsidR="00F13422" w:rsidRPr="00F96F6A" w:rsidRDefault="00F13422" w:rsidP="00F13422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Individuals with non-malignant haematological disorder (</w:t>
            </w:r>
            <w:proofErr w:type="gramStart"/>
            <w:r>
              <w:t>e.g.</w:t>
            </w:r>
            <w:proofErr w:type="gramEnd"/>
            <w:r>
              <w:t xml:space="preserve"> aplastic anaemia or paroxysmal nocturnal haemoglobinuria) receiving B-cell depleting systemic treatment (e.g. anti-CD20, </w:t>
            </w:r>
            <w:proofErr w:type="spellStart"/>
            <w:r>
              <w:t>antithymocyte</w:t>
            </w:r>
            <w:proofErr w:type="spellEnd"/>
            <w:r>
              <w:t xml:space="preserve"> globulin [ATG] and </w:t>
            </w:r>
            <w:proofErr w:type="spellStart"/>
            <w:r>
              <w:t>alemtzumab</w:t>
            </w:r>
            <w:proofErr w:type="spellEnd"/>
            <w:r>
              <w:t xml:space="preserve">) within the last 12 months.  </w:t>
            </w:r>
            <w:r w:rsidRPr="00F96F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13422" w:rsidRPr="0080790A" w14:paraId="019C06A3" w14:textId="77777777" w:rsidTr="00947FF4">
        <w:tc>
          <w:tcPr>
            <w:tcW w:w="2943" w:type="dxa"/>
          </w:tcPr>
          <w:p w14:paraId="00415909" w14:textId="77777777" w:rsidR="00F13422" w:rsidRPr="0080790A" w:rsidRDefault="00F13422" w:rsidP="00947FF4">
            <w:pPr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/>
              </w:rPr>
              <w:t>Patients with renal disease</w:t>
            </w:r>
          </w:p>
        </w:tc>
        <w:tc>
          <w:tcPr>
            <w:tcW w:w="6303" w:type="dxa"/>
          </w:tcPr>
          <w:p w14:paraId="66016497" w14:textId="77777777" w:rsidR="00F13422" w:rsidRDefault="00F13422" w:rsidP="00F13422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0790A">
              <w:rPr>
                <w:rFonts w:asciiTheme="minorHAnsi" w:hAnsiTheme="minorHAnsi" w:cstheme="minorHAnsi"/>
                <w:sz w:val="22"/>
                <w:szCs w:val="22"/>
              </w:rPr>
              <w:t xml:space="preserve">Renal transplant recipients (including those with failed transplants within the past 12 months), particularly those who: </w:t>
            </w:r>
          </w:p>
          <w:p w14:paraId="5E7CE925" w14:textId="77777777" w:rsidR="00F13422" w:rsidRPr="0080790A" w:rsidRDefault="00F13422" w:rsidP="00F13422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0790A">
              <w:rPr>
                <w:rFonts w:asciiTheme="minorHAnsi" w:hAnsiTheme="minorHAnsi" w:cstheme="minorHAnsi"/>
                <w:sz w:val="22"/>
                <w:szCs w:val="22"/>
              </w:rPr>
              <w:t xml:space="preserve">Received B cell depleting therapy within the past 12 months (including alemtuzumab, rituximab [anti-CD20], anti-thymocyte globulin) </w:t>
            </w:r>
          </w:p>
          <w:p w14:paraId="79091511" w14:textId="77777777" w:rsidR="00F13422" w:rsidRPr="0080790A" w:rsidRDefault="00F13422" w:rsidP="00947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80790A">
              <w:rPr>
                <w:rFonts w:asciiTheme="minorHAnsi" w:hAnsiTheme="minorHAnsi" w:cstheme="minorHAnsi"/>
                <w:sz w:val="22"/>
                <w:szCs w:val="22"/>
              </w:rPr>
              <w:t xml:space="preserve"> Have an additional substantial risk factor which would in isolation make them eligible for nMABs or oral antivirals </w:t>
            </w:r>
          </w:p>
          <w:p w14:paraId="6C7A2B34" w14:textId="77777777" w:rsidR="00F13422" w:rsidRPr="0080790A" w:rsidRDefault="00F13422" w:rsidP="00947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80790A">
              <w:rPr>
                <w:rFonts w:asciiTheme="minorHAnsi" w:hAnsiTheme="minorHAnsi" w:cstheme="minorHAnsi"/>
                <w:sz w:val="22"/>
                <w:szCs w:val="22"/>
              </w:rPr>
              <w:t xml:space="preserve"> Not been vaccinated prior to transplantation </w:t>
            </w:r>
          </w:p>
          <w:p w14:paraId="25D857D0" w14:textId="77777777" w:rsidR="00F13422" w:rsidRPr="0080790A" w:rsidRDefault="00F13422" w:rsidP="00F13422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0790A">
              <w:rPr>
                <w:rFonts w:asciiTheme="minorHAnsi" w:hAnsiTheme="minorHAnsi" w:cstheme="minorHAnsi"/>
                <w:sz w:val="22"/>
                <w:szCs w:val="22"/>
              </w:rPr>
              <w:t xml:space="preserve">Non-transplant patients who have received a comparable level of immunosuppression </w:t>
            </w:r>
          </w:p>
          <w:p w14:paraId="77AD8C05" w14:textId="77777777" w:rsidR="00F13422" w:rsidRPr="00F96F6A" w:rsidRDefault="00F13422" w:rsidP="00F13422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0790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Patients with chronic kidney stage (CKD) 4 or 5 (an eGFR less than 30 ml/min/1.73m2) without immunosuppression </w:t>
            </w:r>
          </w:p>
          <w:p w14:paraId="57E18444" w14:textId="77777777" w:rsidR="00F13422" w:rsidRPr="0080790A" w:rsidRDefault="00F13422" w:rsidP="00947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3422" w:rsidRPr="0080790A" w14:paraId="48869EF6" w14:textId="77777777" w:rsidTr="00947FF4">
        <w:tc>
          <w:tcPr>
            <w:tcW w:w="2943" w:type="dxa"/>
          </w:tcPr>
          <w:p w14:paraId="59B75E33" w14:textId="77777777" w:rsidR="00F13422" w:rsidRPr="0080790A" w:rsidRDefault="00F13422" w:rsidP="00947FF4">
            <w:pPr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/>
              </w:rPr>
              <w:lastRenderedPageBreak/>
              <w:t>Patients with liver disease</w:t>
            </w:r>
          </w:p>
        </w:tc>
        <w:tc>
          <w:tcPr>
            <w:tcW w:w="6303" w:type="dxa"/>
          </w:tcPr>
          <w:p w14:paraId="6AA5B333" w14:textId="77777777" w:rsidR="00F13422" w:rsidRDefault="00F13422" w:rsidP="00F13422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A24E5">
              <w:rPr>
                <w:rFonts w:asciiTheme="minorHAnsi" w:hAnsiTheme="minorHAnsi" w:cstheme="minorHAnsi"/>
                <w:sz w:val="22"/>
                <w:szCs w:val="22"/>
              </w:rPr>
              <w:t>Patients with cirrhosis Child’s-Pugh class B and C (decompensated liver disease).</w:t>
            </w:r>
          </w:p>
          <w:p w14:paraId="71D8ADAD" w14:textId="77777777" w:rsidR="00F13422" w:rsidRDefault="00F13422" w:rsidP="00F13422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A24E5">
              <w:rPr>
                <w:rFonts w:asciiTheme="minorHAnsi" w:hAnsiTheme="minorHAnsi" w:cstheme="minorHAnsi"/>
                <w:sz w:val="22"/>
                <w:szCs w:val="22"/>
              </w:rPr>
              <w:t xml:space="preserve"> Patients with a liver transplant </w:t>
            </w:r>
          </w:p>
          <w:p w14:paraId="208BB33F" w14:textId="77777777" w:rsidR="00F13422" w:rsidRDefault="00F13422" w:rsidP="00F13422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A24E5">
              <w:rPr>
                <w:rFonts w:asciiTheme="minorHAnsi" w:hAnsiTheme="minorHAnsi" w:cstheme="minorHAnsi"/>
                <w:sz w:val="22"/>
                <w:szCs w:val="22"/>
              </w:rPr>
              <w:t xml:space="preserve"> Liver patients on immune suppressive therapy (including patients with and without liver cirrhosis) </w:t>
            </w:r>
          </w:p>
          <w:p w14:paraId="2A6832DB" w14:textId="77777777" w:rsidR="00F13422" w:rsidRPr="003A24E5" w:rsidRDefault="00F13422" w:rsidP="00F13422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A24E5">
              <w:rPr>
                <w:rFonts w:asciiTheme="minorHAnsi" w:hAnsiTheme="minorHAnsi" w:cstheme="minorHAnsi"/>
                <w:sz w:val="22"/>
                <w:szCs w:val="22"/>
              </w:rPr>
              <w:t xml:space="preserve">Patients with cirrhosis Child’s-Pugh class A who are not on immune suppressive therapy (compensated liver disease) </w:t>
            </w:r>
          </w:p>
          <w:p w14:paraId="7A73D385" w14:textId="77777777" w:rsidR="00F13422" w:rsidRPr="0080790A" w:rsidRDefault="00F13422" w:rsidP="00947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3422" w:rsidRPr="0080790A" w14:paraId="2DF72C90" w14:textId="77777777" w:rsidTr="00947FF4">
        <w:tc>
          <w:tcPr>
            <w:tcW w:w="2943" w:type="dxa"/>
          </w:tcPr>
          <w:p w14:paraId="6F8D10C4" w14:textId="77777777" w:rsidR="00F13422" w:rsidRPr="0080790A" w:rsidRDefault="00F13422" w:rsidP="00947FF4">
            <w:pPr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/>
              </w:rPr>
              <w:t>Patients with immune-mediated inflammatory disorders (IMID)</w:t>
            </w:r>
          </w:p>
        </w:tc>
        <w:tc>
          <w:tcPr>
            <w:tcW w:w="6303" w:type="dxa"/>
          </w:tcPr>
          <w:p w14:paraId="11C92166" w14:textId="77777777" w:rsidR="00F13422" w:rsidRDefault="00F13422" w:rsidP="00F13422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A24E5">
              <w:rPr>
                <w:rFonts w:asciiTheme="minorHAnsi" w:hAnsiTheme="minorHAnsi" w:cstheme="minorHAnsi"/>
                <w:sz w:val="22"/>
                <w:szCs w:val="22"/>
              </w:rPr>
              <w:t>IMID treated with rituximab or other B cell depleting therapy in the last 12 months</w:t>
            </w:r>
          </w:p>
          <w:p w14:paraId="6C12F2A2" w14:textId="77777777" w:rsidR="00F13422" w:rsidRDefault="00F13422" w:rsidP="00F13422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A24E5">
              <w:rPr>
                <w:rFonts w:asciiTheme="minorHAnsi" w:hAnsiTheme="minorHAnsi" w:cstheme="minorHAnsi"/>
                <w:sz w:val="22"/>
                <w:szCs w:val="22"/>
              </w:rPr>
              <w:t xml:space="preserve"> IMID with active/unstable disease on corticosteroids, cyclophosphamide, tacrolimus, cyclosporin or mycophenolate. </w:t>
            </w:r>
          </w:p>
          <w:p w14:paraId="2DF333FA" w14:textId="77777777" w:rsidR="00F13422" w:rsidRDefault="00F13422" w:rsidP="00F13422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A24E5">
              <w:rPr>
                <w:rFonts w:asciiTheme="minorHAnsi" w:hAnsiTheme="minorHAnsi" w:cstheme="minorHAnsi"/>
                <w:sz w:val="22"/>
                <w:szCs w:val="22"/>
              </w:rPr>
              <w:t xml:space="preserve"> IMID with stable disease on either </w:t>
            </w:r>
            <w:proofErr w:type="gramStart"/>
            <w:r w:rsidRPr="003A24E5">
              <w:rPr>
                <w:rFonts w:asciiTheme="minorHAnsi" w:hAnsiTheme="minorHAnsi" w:cstheme="minorHAnsi"/>
                <w:sz w:val="22"/>
                <w:szCs w:val="22"/>
              </w:rPr>
              <w:t>corticosteroids</w:t>
            </w:r>
            <w:proofErr w:type="gramEnd"/>
            <w:r w:rsidRPr="003A24E5">
              <w:rPr>
                <w:rFonts w:asciiTheme="minorHAnsi" w:hAnsiTheme="minorHAnsi" w:cstheme="minorHAnsi"/>
                <w:sz w:val="22"/>
                <w:szCs w:val="22"/>
              </w:rPr>
              <w:t>, cyclophosphamide, tacrolimus, cyclosporin or mycophenolate.</w:t>
            </w:r>
          </w:p>
          <w:p w14:paraId="661DD2DD" w14:textId="77777777" w:rsidR="00F13422" w:rsidRPr="003A24E5" w:rsidRDefault="00F13422" w:rsidP="00F13422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A24E5">
              <w:rPr>
                <w:rFonts w:asciiTheme="minorHAnsi" w:hAnsiTheme="minorHAnsi" w:cstheme="minorHAnsi"/>
                <w:sz w:val="22"/>
                <w:szCs w:val="22"/>
              </w:rPr>
              <w:t xml:space="preserve"> IMID patients with active/unstable disease including those on biological monotherapy and on combination biologicals with thiopurine or methotrexate </w:t>
            </w:r>
          </w:p>
          <w:p w14:paraId="212F4858" w14:textId="77777777" w:rsidR="00F13422" w:rsidRPr="0080790A" w:rsidRDefault="00F13422" w:rsidP="00947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3422" w:rsidRPr="0080790A" w14:paraId="5F31126C" w14:textId="77777777" w:rsidTr="00947FF4">
        <w:tc>
          <w:tcPr>
            <w:tcW w:w="2943" w:type="dxa"/>
          </w:tcPr>
          <w:p w14:paraId="7E756CEC" w14:textId="77777777" w:rsidR="00F13422" w:rsidRDefault="00F13422" w:rsidP="00947FF4">
            <w:pPr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</w:rPr>
            </w:pPr>
          </w:p>
          <w:p w14:paraId="79E0870D" w14:textId="77777777" w:rsidR="00F13422" w:rsidRPr="0080790A" w:rsidRDefault="00F13422" w:rsidP="00947FF4">
            <w:pPr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/>
              </w:rPr>
              <w:t>Primary immune deficiencies</w:t>
            </w:r>
          </w:p>
        </w:tc>
        <w:tc>
          <w:tcPr>
            <w:tcW w:w="6303" w:type="dxa"/>
          </w:tcPr>
          <w:p w14:paraId="35A9FE86" w14:textId="77777777" w:rsidR="00F13422" w:rsidRPr="0080790A" w:rsidRDefault="00F13422" w:rsidP="00947FF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5963DCF" w14:textId="77777777" w:rsidR="00F13422" w:rsidRPr="003A24E5" w:rsidRDefault="00F13422" w:rsidP="00F13422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A24E5">
              <w:rPr>
                <w:rFonts w:asciiTheme="minorHAnsi" w:hAnsiTheme="minorHAnsi" w:cstheme="minorHAnsi"/>
                <w:sz w:val="22"/>
                <w:szCs w:val="22"/>
              </w:rPr>
              <w:t>Common variable immunodeficiency (</w:t>
            </w:r>
            <w:proofErr w:type="gramStart"/>
            <w:r w:rsidRPr="003A24E5">
              <w:rPr>
                <w:rFonts w:asciiTheme="minorHAnsi" w:hAnsiTheme="minorHAnsi" w:cstheme="minorHAnsi"/>
                <w:sz w:val="22"/>
                <w:szCs w:val="22"/>
              </w:rPr>
              <w:t>CVID)  Undefined</w:t>
            </w:r>
            <w:proofErr w:type="gramEnd"/>
            <w:r w:rsidRPr="003A24E5">
              <w:rPr>
                <w:rFonts w:asciiTheme="minorHAnsi" w:hAnsiTheme="minorHAnsi" w:cstheme="minorHAnsi"/>
                <w:sz w:val="22"/>
                <w:szCs w:val="22"/>
              </w:rPr>
              <w:t xml:space="preserve"> primary antibody deficiency on immunoglobulin (or eligible for Ig) </w:t>
            </w:r>
          </w:p>
          <w:p w14:paraId="7FCE13F3" w14:textId="77777777" w:rsidR="00F13422" w:rsidRDefault="00F13422" w:rsidP="00F13422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A24E5">
              <w:rPr>
                <w:rFonts w:asciiTheme="minorHAnsi" w:hAnsiTheme="minorHAnsi" w:cstheme="minorHAnsi"/>
                <w:sz w:val="22"/>
                <w:szCs w:val="22"/>
              </w:rPr>
              <w:t xml:space="preserve">Hyper-IgM syndromes </w:t>
            </w:r>
          </w:p>
          <w:p w14:paraId="1FE044BE" w14:textId="77777777" w:rsidR="00F13422" w:rsidRDefault="00F13422" w:rsidP="00F13422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A24E5">
              <w:rPr>
                <w:rFonts w:asciiTheme="minorHAnsi" w:hAnsiTheme="minorHAnsi" w:cstheme="minorHAnsi"/>
                <w:sz w:val="22"/>
                <w:szCs w:val="22"/>
              </w:rPr>
              <w:t xml:space="preserve">Good’s syndrome (thymoma plus B-cell deficiency) </w:t>
            </w:r>
          </w:p>
          <w:p w14:paraId="79BA036A" w14:textId="77777777" w:rsidR="00F13422" w:rsidRPr="003A24E5" w:rsidRDefault="00F13422" w:rsidP="00F13422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A24E5">
              <w:rPr>
                <w:rFonts w:asciiTheme="minorHAnsi" w:hAnsiTheme="minorHAnsi" w:cstheme="minorHAnsi"/>
                <w:sz w:val="22"/>
                <w:szCs w:val="22"/>
              </w:rPr>
              <w:t xml:space="preserve">Severe Combined Immunodeficiency (SCID) </w:t>
            </w:r>
          </w:p>
          <w:p w14:paraId="7021E3E7" w14:textId="77777777" w:rsidR="00F13422" w:rsidRPr="0080790A" w:rsidRDefault="00F13422" w:rsidP="00947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3422" w:rsidRPr="0080790A" w14:paraId="3D4E16EF" w14:textId="77777777" w:rsidTr="00947FF4">
        <w:tc>
          <w:tcPr>
            <w:tcW w:w="2943" w:type="dxa"/>
          </w:tcPr>
          <w:p w14:paraId="789C9CA9" w14:textId="77777777" w:rsidR="00F13422" w:rsidRDefault="00F13422" w:rsidP="00947FF4">
            <w:pPr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</w:rPr>
            </w:pPr>
          </w:p>
          <w:p w14:paraId="2B330106" w14:textId="77777777" w:rsidR="00F13422" w:rsidRDefault="00F13422" w:rsidP="00947FF4">
            <w:pPr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/>
              </w:rPr>
              <w:t>HIV/AIDS</w:t>
            </w:r>
          </w:p>
          <w:p w14:paraId="5EBAFFF2" w14:textId="77777777" w:rsidR="00F13422" w:rsidRPr="0080790A" w:rsidRDefault="00F13422" w:rsidP="00947FF4">
            <w:pPr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</w:rPr>
            </w:pPr>
          </w:p>
        </w:tc>
        <w:tc>
          <w:tcPr>
            <w:tcW w:w="6303" w:type="dxa"/>
          </w:tcPr>
          <w:p w14:paraId="46F9CCAB" w14:textId="77777777" w:rsidR="00F13422" w:rsidRPr="0080790A" w:rsidRDefault="00F13422" w:rsidP="00947FF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82D8938" w14:textId="77777777" w:rsidR="00F13422" w:rsidRPr="0080790A" w:rsidRDefault="00F13422" w:rsidP="00F13422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0790A">
              <w:rPr>
                <w:rFonts w:asciiTheme="minorHAnsi" w:hAnsiTheme="minorHAnsi" w:cstheme="minorHAnsi"/>
                <w:sz w:val="22"/>
                <w:szCs w:val="22"/>
              </w:rPr>
              <w:t xml:space="preserve">Patients with high levels of immune suppression, have uncontrolled/untreated HIV (high viral load) or present acutely with an AIDS defining diagnosis </w:t>
            </w:r>
          </w:p>
          <w:p w14:paraId="05F62607" w14:textId="77777777" w:rsidR="00F13422" w:rsidRPr="0080790A" w:rsidRDefault="00F13422" w:rsidP="00F13422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0790A">
              <w:rPr>
                <w:rFonts w:asciiTheme="minorHAnsi" w:hAnsiTheme="minorHAnsi" w:cstheme="minorHAnsi"/>
                <w:sz w:val="22"/>
                <w:szCs w:val="22"/>
              </w:rPr>
              <w:t>On treatment for HIV with CD4 &lt;350 cells/mm3 and stable on HIV treatment or CD4&gt;350 cells/mm3 and additional risk factors (</w:t>
            </w:r>
            <w:proofErr w:type="gramStart"/>
            <w:r w:rsidRPr="0080790A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proofErr w:type="gramEnd"/>
            <w:r w:rsidRPr="0080790A">
              <w:rPr>
                <w:rFonts w:asciiTheme="minorHAnsi" w:hAnsiTheme="minorHAnsi" w:cstheme="minorHAnsi"/>
                <w:sz w:val="22"/>
                <w:szCs w:val="22"/>
              </w:rPr>
              <w:t xml:space="preserve"> age, diabetes, obesity, cardiovascular, liver or renal disease, homeless, those with alcohol-dependence) </w:t>
            </w:r>
          </w:p>
          <w:p w14:paraId="4F1D979C" w14:textId="77777777" w:rsidR="00F13422" w:rsidRPr="0080790A" w:rsidRDefault="00F13422" w:rsidP="00947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3422" w:rsidRPr="0080790A" w14:paraId="2724F303" w14:textId="77777777" w:rsidTr="00947FF4">
        <w:tc>
          <w:tcPr>
            <w:tcW w:w="2943" w:type="dxa"/>
          </w:tcPr>
          <w:p w14:paraId="77D2B1CD" w14:textId="77777777" w:rsidR="00F13422" w:rsidRPr="0080790A" w:rsidRDefault="00F13422" w:rsidP="00947FF4">
            <w:pPr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/>
              </w:rPr>
              <w:t>Solid organ transplant recipients</w:t>
            </w:r>
          </w:p>
        </w:tc>
        <w:tc>
          <w:tcPr>
            <w:tcW w:w="6303" w:type="dxa"/>
          </w:tcPr>
          <w:p w14:paraId="68FC03A6" w14:textId="77777777" w:rsidR="00F13422" w:rsidRPr="0080790A" w:rsidRDefault="00F13422" w:rsidP="00947FF4">
            <w:pPr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/>
              </w:rPr>
              <w:t>All recipients of solid organ transplants not otherwise specific above</w:t>
            </w:r>
          </w:p>
        </w:tc>
      </w:tr>
      <w:tr w:rsidR="00F13422" w:rsidRPr="0080790A" w14:paraId="73AD11AE" w14:textId="77777777" w:rsidTr="00947FF4">
        <w:tc>
          <w:tcPr>
            <w:tcW w:w="2943" w:type="dxa"/>
          </w:tcPr>
          <w:p w14:paraId="4F8B8FA8" w14:textId="77777777" w:rsidR="00F13422" w:rsidRPr="0080790A" w:rsidRDefault="00F13422" w:rsidP="00947FF4">
            <w:pPr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/>
              </w:rPr>
              <w:t>Rare neurological conditions</w:t>
            </w:r>
          </w:p>
        </w:tc>
        <w:tc>
          <w:tcPr>
            <w:tcW w:w="6303" w:type="dxa"/>
          </w:tcPr>
          <w:p w14:paraId="38130A81" w14:textId="77777777" w:rsidR="00F13422" w:rsidRPr="003A24E5" w:rsidRDefault="00F13422" w:rsidP="00F13422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A24E5">
              <w:rPr>
                <w:rFonts w:asciiTheme="minorHAnsi" w:hAnsiTheme="minorHAnsi" w:cstheme="minorHAnsi"/>
                <w:sz w:val="22"/>
                <w:szCs w:val="22"/>
              </w:rPr>
              <w:t>Multiple sclerosis</w:t>
            </w:r>
          </w:p>
          <w:p w14:paraId="4D86D4F9" w14:textId="77777777" w:rsidR="00F13422" w:rsidRPr="003A24E5" w:rsidRDefault="00F13422" w:rsidP="00F13422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A24E5">
              <w:rPr>
                <w:rFonts w:asciiTheme="minorHAnsi" w:hAnsiTheme="minorHAnsi" w:cstheme="minorHAnsi"/>
                <w:sz w:val="22"/>
                <w:szCs w:val="22"/>
              </w:rPr>
              <w:t>Motor neurone disease</w:t>
            </w:r>
          </w:p>
          <w:p w14:paraId="48A533B1" w14:textId="77777777" w:rsidR="00F13422" w:rsidRPr="003A24E5" w:rsidRDefault="00F13422" w:rsidP="00F13422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A24E5">
              <w:rPr>
                <w:rFonts w:asciiTheme="minorHAnsi" w:hAnsiTheme="minorHAnsi" w:cstheme="minorHAnsi"/>
                <w:sz w:val="22"/>
                <w:szCs w:val="22"/>
              </w:rPr>
              <w:t>Myasthenia Gravis</w:t>
            </w:r>
          </w:p>
          <w:p w14:paraId="04BCE1F9" w14:textId="77777777" w:rsidR="00F13422" w:rsidRPr="003A24E5" w:rsidRDefault="00F13422" w:rsidP="00F13422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A24E5">
              <w:rPr>
                <w:rFonts w:asciiTheme="minorHAnsi" w:hAnsiTheme="minorHAnsi" w:cstheme="minorHAnsi"/>
                <w:sz w:val="22"/>
                <w:szCs w:val="22"/>
              </w:rPr>
              <w:t>Huntington’s disease</w:t>
            </w:r>
          </w:p>
          <w:p w14:paraId="5D35CAAC" w14:textId="77777777" w:rsidR="00F13422" w:rsidRPr="0080790A" w:rsidRDefault="00F13422" w:rsidP="00947FF4">
            <w:pPr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</w:rPr>
            </w:pPr>
          </w:p>
        </w:tc>
      </w:tr>
    </w:tbl>
    <w:p w14:paraId="43E8E810" w14:textId="77777777" w:rsidR="00F13422" w:rsidRPr="00F13422" w:rsidRDefault="00F13422" w:rsidP="00ED44AF">
      <w:pPr>
        <w:autoSpaceDE w:val="0"/>
        <w:autoSpaceDN w:val="0"/>
        <w:adjustRightInd w:val="0"/>
        <w:rPr>
          <w:rFonts w:cs="Calibri"/>
          <w:b/>
          <w:bCs/>
          <w:lang w:eastAsia="en-GB"/>
        </w:rPr>
      </w:pPr>
    </w:p>
    <w:bookmarkEnd w:id="0"/>
    <w:p w14:paraId="3E24B44A" w14:textId="6063E94B" w:rsidR="00057418" w:rsidRPr="00057418" w:rsidRDefault="00057418" w:rsidP="00057418">
      <w:pPr>
        <w:spacing w:after="200" w:line="276" w:lineRule="auto"/>
        <w:rPr>
          <w:b/>
          <w:sz w:val="28"/>
          <w:szCs w:val="28"/>
          <w:u w:val="single"/>
        </w:rPr>
      </w:pPr>
    </w:p>
    <w:sectPr w:rsidR="00057418" w:rsidRPr="00057418" w:rsidSect="00B37D7E">
      <w:headerReference w:type="default" r:id="rId8"/>
      <w:footerReference w:type="default" r:id="rId9"/>
      <w:headerReference w:type="first" r:id="rId10"/>
      <w:pgSz w:w="11900" w:h="16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60C8D" w14:textId="77777777" w:rsidR="00351D4E" w:rsidRDefault="00351D4E" w:rsidP="00B37D7E">
      <w:r>
        <w:separator/>
      </w:r>
    </w:p>
  </w:endnote>
  <w:endnote w:type="continuationSeparator" w:id="0">
    <w:p w14:paraId="6798A6DC" w14:textId="77777777" w:rsidR="00351D4E" w:rsidRDefault="00351D4E" w:rsidP="00B3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ntax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85890" w14:textId="6DE56709" w:rsidR="00057418" w:rsidRDefault="00057418" w:rsidP="00057418">
    <w:pPr>
      <w:pStyle w:val="Footer"/>
      <w:tabs>
        <w:tab w:val="clear" w:pos="4513"/>
        <w:tab w:val="clear" w:pos="9026"/>
        <w:tab w:val="center" w:pos="5230"/>
        <w:tab w:val="right" w:pos="10460"/>
      </w:tabs>
    </w:pPr>
    <w:r>
      <w:t>Yorkshire Health Partners Ltd</w:t>
    </w:r>
    <w:r>
      <w:tab/>
      <w:t>Version 1.</w:t>
    </w:r>
    <w:r w:rsidR="00D67C0A">
      <w:t>1</w:t>
    </w:r>
    <w:r>
      <w:tab/>
    </w:r>
    <w:r w:rsidR="00D67C0A">
      <w:t>Amended</w:t>
    </w:r>
    <w:r>
      <w:t xml:space="preserve"> by M Moment </w:t>
    </w:r>
    <w:r w:rsidR="00D67C0A">
      <w:t>11.04.2022</w:t>
    </w:r>
    <w:r w:rsidR="00ED44AF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BF2E7" w14:textId="77777777" w:rsidR="00351D4E" w:rsidRDefault="00351D4E" w:rsidP="00B37D7E">
      <w:r>
        <w:separator/>
      </w:r>
    </w:p>
  </w:footnote>
  <w:footnote w:type="continuationSeparator" w:id="0">
    <w:p w14:paraId="1952AF4E" w14:textId="77777777" w:rsidR="00351D4E" w:rsidRDefault="00351D4E" w:rsidP="00B37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A54FA" w14:textId="49CE8FDA" w:rsidR="00B37D7E" w:rsidRPr="000C323B" w:rsidRDefault="00B37D7E">
    <w:pPr>
      <w:pStyle w:val="Header"/>
      <w:rPr>
        <w:b/>
      </w:rPr>
    </w:pPr>
    <w:r w:rsidRPr="000C323B">
      <w:rPr>
        <w:b/>
      </w:rPr>
      <w:t xml:space="preserve">Referral for </w:t>
    </w:r>
    <w:proofErr w:type="spellStart"/>
    <w:r w:rsidR="00C00D1C">
      <w:rPr>
        <w:b/>
      </w:rPr>
      <w:t>nMAbs</w:t>
    </w:r>
    <w:proofErr w:type="spellEnd"/>
    <w:r w:rsidR="00C00D1C">
      <w:rPr>
        <w:b/>
      </w:rPr>
      <w:t xml:space="preserve"> Triage for CMDU treatment </w:t>
    </w:r>
    <w:r w:rsidR="000C323B" w:rsidRPr="000C323B">
      <w:rPr>
        <w:b/>
      </w:rPr>
      <w:t xml:space="preserve">– Page </w:t>
    </w:r>
    <w:r w:rsidR="000C323B" w:rsidRPr="000C323B">
      <w:rPr>
        <w:b/>
      </w:rPr>
      <w:fldChar w:fldCharType="begin"/>
    </w:r>
    <w:r w:rsidR="000C323B" w:rsidRPr="000C323B">
      <w:rPr>
        <w:b/>
      </w:rPr>
      <w:instrText xml:space="preserve"> PAGE  \* MERGEFORMAT </w:instrText>
    </w:r>
    <w:r w:rsidR="000C323B" w:rsidRPr="000C323B">
      <w:rPr>
        <w:b/>
      </w:rPr>
      <w:fldChar w:fldCharType="separate"/>
    </w:r>
    <w:r w:rsidR="00966765">
      <w:rPr>
        <w:b/>
        <w:noProof/>
      </w:rPr>
      <w:t>2</w:t>
    </w:r>
    <w:r w:rsidR="000C323B" w:rsidRPr="000C323B">
      <w:rPr>
        <w:b/>
      </w:rPr>
      <w:fldChar w:fldCharType="end"/>
    </w:r>
  </w:p>
  <w:p w14:paraId="5EAACB11" w14:textId="77777777" w:rsidR="000C323B" w:rsidRPr="000C323B" w:rsidRDefault="000C323B">
    <w:pPr>
      <w:pStyle w:val="Header"/>
    </w:pPr>
    <w:r>
      <w:t xml:space="preserve">Patient: </w:t>
    </w:r>
    <w:r w:rsidR="00A24744">
      <w:fldChar w:fldCharType="begin">
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ACIAMQAsADIALAA2ACIAIABvAHUAdABwAHUAdABGAGkAZQBsAGQAVwBpAGQAdABoAHMAPQAiACUA
MQAsACUAMQAsACUAMQAiACAAbwB1AHQAcAB1AHQARgBpAGUAbABkAE4AbwBuAEUAbQBwAHQAeQBP
AHYAZQByAHIAaQBkAGUAVABlAHgAdABzAD0AIgAsACwAIgAgAG8AdQB0AHAAdQB0AEYAaQBlAGwA
ZABDAHUAcwB0AG8AbQBEAGUAcwBjAHIAaQBwAHQAaQBvAG4AcwA9ACIALAAsACIAIABvAHUAdABw
AHUAdABGAGkAZQBsAGQARgBvAHIAbQBhAHQAcwA9ACIAIgAgAG8AdQB0AHAAdQB0AEIAbwByAGQA
ZQByAFQAeQBwAGUAPQAiADAAIgAgAHIAZQBhAGQAQwBvAGQAZQBNAGEAcABwAGkAbgBnAFAAYQBy
AGEAbQBlAHQAZQByAHMAPQAiACIAIABzAGgAbwB3AFQAaQBtAGUARgBvAHIATQBlAHIAZwBlAGQA
RABvAHMAZQBBAG4AZABUAGkAbQBlAHMAPQAiAHkAIgAgAGQAZQBsAGkAbQBpAHQAZQByAD0AIgAg
ACIAIABuAGUAdwBMAGkAbgBlAEIAZQB0AHcAZQBlAG4ARQBuAHQAaQB0AGkAZQBzAD0AIgB5ACIA
IABhAHUAdABvAEYAaQB0AE0AbwBkAGUAPQAiADEAIgAgAGUAbQBwAHQAeQBUAGEAYgBsAGUATQBv
AGQAZQA9ACIAMAAiACAAZQBtAHAAdAB5AFQAYQBiAGwAZQBUAGUAeAB0AD0AIgAiACAAVQBuAGQA
ZQByAEEAZwBlAD0AIgAtADEAIgAgAFIAZQBsAGEAdABpAG8AbgBzAGgAaQBwAFQAeQBwAGUAcwA9
ACIAIgAgAEEAbABsAG8AdwBSAG8AdwBQAGEAZwBlAFMAcABsAGkAdAA9ACIAeQAiACAARgBpAHgA
ZQBkAFIAbwB3AEgAZQBpAGcAaAB0AD0AIgAtADEALgAwACIAIABOAHUAbQBTAHQAcgBpAHAAZQBz
AD0AIgAtADEAIgAgAEMAZQBsAGwAVABvAHAAPQAiADAALgAwACIAIABDAGUAbABsAEwAZQBmAHQA
PQAiADAALgAxADkAIgAgAEMAZQBsAGwAQgBvAHQAdABvAG0APQAiADAALgAwACIAIABDAGUAbABs
AFIAaQBnAGgAdAA9ACIAMAAuADEAOQAiACAAUgBlAG0AbwB2AGUARAB1AHAAbABpAGMAYQB0AGUA
UgBvAHcAcwA9ACIAeQAiAC8APgA=
</w:fldData>
      </w:fldChar>
    </w:r>
    <w:r w:rsidR="00A24744">
      <w:instrText>ADDIN "&lt;Patient Name&gt;"</w:instrText>
    </w:r>
    <w:r w:rsidR="00A24744">
      <w:fldChar w:fldCharType="separate"/>
    </w:r>
    <w:r w:rsidR="00A24744">
      <w:t>&lt;Patient Name&gt;</w:t>
    </w:r>
    <w:r w:rsidR="00A24744">
      <w:fldChar w:fldCharType="end"/>
    </w:r>
    <w:r w:rsidR="00A24744">
      <w:t xml:space="preserve">, DOB: </w:t>
    </w:r>
    <w:r w:rsidR="00A24744">
      <w:fldChar w:fldCharType="begin">
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</w:fldChar>
    </w:r>
    <w:r w:rsidR="00A24744">
      <w:instrText>ADDIN "&lt;Date of Birth&gt;"</w:instrText>
    </w:r>
    <w:r w:rsidR="00A24744">
      <w:fldChar w:fldCharType="separate"/>
    </w:r>
    <w:r w:rsidR="00A24744">
      <w:t>&lt;Date of Birth&gt;</w:t>
    </w:r>
    <w:r w:rsidR="00A24744">
      <w:fldChar w:fldCharType="end"/>
    </w:r>
    <w:r w:rsidR="00A24744">
      <w:t xml:space="preserve">, NHS: </w:t>
    </w:r>
    <w:r w:rsidR="00A24744">
      <w:fldChar w:fldCharType="begin">
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</w:fldChar>
    </w:r>
    <w:r w:rsidR="00A24744">
      <w:instrText>ADDIN "&lt;NHS number&gt;"</w:instrText>
    </w:r>
    <w:r w:rsidR="00A24744">
      <w:fldChar w:fldCharType="separate"/>
    </w:r>
    <w:r w:rsidR="00A24744">
      <w:t>&lt;NHS number&gt;</w:t>
    </w:r>
    <w:r w:rsidR="00A24744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03C71" w14:textId="05807885" w:rsidR="000C323B" w:rsidRDefault="00920F54">
    <w:pPr>
      <w:pStyle w:val="Header"/>
      <w:rPr>
        <w:sz w:val="44"/>
        <w:szCs w:val="44"/>
      </w:rPr>
    </w:pPr>
    <w:r>
      <w:rPr>
        <w:noProof/>
        <w:sz w:val="44"/>
        <w:szCs w:val="44"/>
      </w:rPr>
      <w:drawing>
        <wp:anchor distT="0" distB="0" distL="114300" distR="114300" simplePos="0" relativeHeight="251657728" behindDoc="0" locked="0" layoutInCell="1" allowOverlap="1" wp14:anchorId="2AE94658" wp14:editId="1BC8E832">
          <wp:simplePos x="0" y="0"/>
          <wp:positionH relativeFrom="margin">
            <wp:align>right</wp:align>
          </wp:positionH>
          <wp:positionV relativeFrom="page">
            <wp:posOffset>180975</wp:posOffset>
          </wp:positionV>
          <wp:extent cx="1235710" cy="13163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710" cy="1316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D7E" w:rsidRPr="00B37D7E">
      <w:rPr>
        <w:sz w:val="44"/>
        <w:szCs w:val="44"/>
      </w:rPr>
      <w:t xml:space="preserve">Referral for </w:t>
    </w:r>
  </w:p>
  <w:p w14:paraId="54B808FA" w14:textId="2E0C0D95" w:rsidR="003B5421" w:rsidRPr="00B37D7E" w:rsidRDefault="00C50BDC">
    <w:pPr>
      <w:pStyle w:val="Header"/>
      <w:rPr>
        <w:sz w:val="44"/>
        <w:szCs w:val="44"/>
      </w:rPr>
    </w:pPr>
    <w:proofErr w:type="spellStart"/>
    <w:r>
      <w:rPr>
        <w:sz w:val="44"/>
        <w:szCs w:val="44"/>
      </w:rPr>
      <w:t>nMAbs</w:t>
    </w:r>
    <w:proofErr w:type="spellEnd"/>
    <w:r>
      <w:rPr>
        <w:sz w:val="44"/>
        <w:szCs w:val="44"/>
      </w:rPr>
      <w:t xml:space="preserve"> Triage for eligible treatment via CMDU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005E"/>
    <w:multiLevelType w:val="hybridMultilevel"/>
    <w:tmpl w:val="9FD4F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634D4"/>
    <w:multiLevelType w:val="hybridMultilevel"/>
    <w:tmpl w:val="5EB23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805554"/>
    <w:multiLevelType w:val="hybridMultilevel"/>
    <w:tmpl w:val="69C4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C4BE0"/>
    <w:multiLevelType w:val="hybridMultilevel"/>
    <w:tmpl w:val="1E3A0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2F782E"/>
    <w:multiLevelType w:val="hybridMultilevel"/>
    <w:tmpl w:val="94DE9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E0EE4"/>
    <w:multiLevelType w:val="hybridMultilevel"/>
    <w:tmpl w:val="C784A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B477B"/>
    <w:multiLevelType w:val="hybridMultilevel"/>
    <w:tmpl w:val="FD4E5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F7FCF"/>
    <w:multiLevelType w:val="hybridMultilevel"/>
    <w:tmpl w:val="EE92DB04"/>
    <w:lvl w:ilvl="0" w:tplc="6F08E99A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8" w15:restartNumberingAfterBreak="0">
    <w:nsid w:val="6BA97875"/>
    <w:multiLevelType w:val="hybridMultilevel"/>
    <w:tmpl w:val="C75234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6509898">
    <w:abstractNumId w:val="6"/>
  </w:num>
  <w:num w:numId="2" w16cid:durableId="108012152">
    <w:abstractNumId w:val="5"/>
  </w:num>
  <w:num w:numId="3" w16cid:durableId="170998752">
    <w:abstractNumId w:val="2"/>
  </w:num>
  <w:num w:numId="4" w16cid:durableId="1196583696">
    <w:abstractNumId w:val="0"/>
  </w:num>
  <w:num w:numId="5" w16cid:durableId="1696690557">
    <w:abstractNumId w:val="1"/>
  </w:num>
  <w:num w:numId="6" w16cid:durableId="745881350">
    <w:abstractNumId w:val="4"/>
  </w:num>
  <w:num w:numId="7" w16cid:durableId="1096485672">
    <w:abstractNumId w:val="7"/>
  </w:num>
  <w:num w:numId="8" w16cid:durableId="1449737281">
    <w:abstractNumId w:val="8"/>
  </w:num>
  <w:num w:numId="9" w16cid:durableId="10204721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7E"/>
    <w:rsid w:val="00057418"/>
    <w:rsid w:val="0007421D"/>
    <w:rsid w:val="000754C8"/>
    <w:rsid w:val="00096BE6"/>
    <w:rsid w:val="000C323B"/>
    <w:rsid w:val="00191FC1"/>
    <w:rsid w:val="001D6863"/>
    <w:rsid w:val="002155EE"/>
    <w:rsid w:val="002869C1"/>
    <w:rsid w:val="002E5EAF"/>
    <w:rsid w:val="00351D4E"/>
    <w:rsid w:val="003B5421"/>
    <w:rsid w:val="003B621A"/>
    <w:rsid w:val="003F6663"/>
    <w:rsid w:val="004F3357"/>
    <w:rsid w:val="00560DEE"/>
    <w:rsid w:val="005D3198"/>
    <w:rsid w:val="006D02CC"/>
    <w:rsid w:val="006E56CF"/>
    <w:rsid w:val="0072577F"/>
    <w:rsid w:val="007461AB"/>
    <w:rsid w:val="00747F42"/>
    <w:rsid w:val="007A76E8"/>
    <w:rsid w:val="007D3375"/>
    <w:rsid w:val="008345B4"/>
    <w:rsid w:val="00887674"/>
    <w:rsid w:val="008B4438"/>
    <w:rsid w:val="00906D11"/>
    <w:rsid w:val="00920F54"/>
    <w:rsid w:val="0093746A"/>
    <w:rsid w:val="00966765"/>
    <w:rsid w:val="00972479"/>
    <w:rsid w:val="009A6392"/>
    <w:rsid w:val="00A10A23"/>
    <w:rsid w:val="00A1403A"/>
    <w:rsid w:val="00A24744"/>
    <w:rsid w:val="00A330DE"/>
    <w:rsid w:val="00A74D6A"/>
    <w:rsid w:val="00AA3AC6"/>
    <w:rsid w:val="00AF5196"/>
    <w:rsid w:val="00B37D7E"/>
    <w:rsid w:val="00BC7545"/>
    <w:rsid w:val="00BD5269"/>
    <w:rsid w:val="00C00D1C"/>
    <w:rsid w:val="00C30994"/>
    <w:rsid w:val="00C50BDC"/>
    <w:rsid w:val="00C80F7B"/>
    <w:rsid w:val="00C86B0C"/>
    <w:rsid w:val="00D4478B"/>
    <w:rsid w:val="00D56934"/>
    <w:rsid w:val="00D67C0A"/>
    <w:rsid w:val="00D92090"/>
    <w:rsid w:val="00DB3077"/>
    <w:rsid w:val="00DE5430"/>
    <w:rsid w:val="00E14A88"/>
    <w:rsid w:val="00E21874"/>
    <w:rsid w:val="00E21A6A"/>
    <w:rsid w:val="00E32AA1"/>
    <w:rsid w:val="00E933FD"/>
    <w:rsid w:val="00E93935"/>
    <w:rsid w:val="00EB1954"/>
    <w:rsid w:val="00ED44AF"/>
    <w:rsid w:val="00EF5429"/>
    <w:rsid w:val="00F120FA"/>
    <w:rsid w:val="00F13422"/>
    <w:rsid w:val="00FC1DC9"/>
    <w:rsid w:val="00FF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62E22A"/>
  <w14:defaultImageDpi w14:val="32767"/>
  <w15:docId w15:val="{DF8244EA-F52D-4995-B881-489E96C9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D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D7E"/>
  </w:style>
  <w:style w:type="paragraph" w:styleId="Footer">
    <w:name w:val="footer"/>
    <w:basedOn w:val="Normal"/>
    <w:link w:val="FooterChar"/>
    <w:uiPriority w:val="99"/>
    <w:unhideWhenUsed/>
    <w:rsid w:val="00B37D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D7E"/>
  </w:style>
  <w:style w:type="table" w:styleId="TableGrid">
    <w:name w:val="Table Grid"/>
    <w:basedOn w:val="TableNormal"/>
    <w:uiPriority w:val="59"/>
    <w:rsid w:val="008B4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ev2 list,F5 List Paragraph,List Paragraph1,Dot pt,No Spacing1,List Paragraph Char Char Char,Indicator Text,Colorful List - Accent 11,Numbered Para 1,Bullet 1,Bullet Points,MAIN CONTENT,List Paragraph2,Normal numbered,List Paragraph11,lp1"/>
    <w:basedOn w:val="Normal"/>
    <w:link w:val="ListParagraphChar"/>
    <w:uiPriority w:val="34"/>
    <w:qFormat/>
    <w:rsid w:val="000C323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F120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20F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120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0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20FA"/>
    <w:rPr>
      <w:b/>
      <w:bCs/>
      <w:lang w:eastAsia="en-US"/>
    </w:rPr>
  </w:style>
  <w:style w:type="paragraph" w:customStyle="1" w:styleId="pf0">
    <w:name w:val="pf0"/>
    <w:basedOn w:val="Normal"/>
    <w:rsid w:val="009A6392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customStyle="1" w:styleId="cf01">
    <w:name w:val="cf01"/>
    <w:rsid w:val="009A6392"/>
    <w:rPr>
      <w:rFonts w:ascii="Segoe UI" w:hAnsi="Segoe UI" w:cs="Segoe UI" w:hint="default"/>
      <w:sz w:val="18"/>
      <w:szCs w:val="18"/>
    </w:rPr>
  </w:style>
  <w:style w:type="paragraph" w:styleId="NoSpacing">
    <w:name w:val="No Spacing"/>
    <w:uiPriority w:val="1"/>
    <w:qFormat/>
    <w:rsid w:val="003B621A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D44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4AF"/>
    <w:rPr>
      <w:color w:val="605E5C"/>
      <w:shd w:val="clear" w:color="auto" w:fill="E1DFDD"/>
    </w:rPr>
  </w:style>
  <w:style w:type="character" w:customStyle="1" w:styleId="ListParagraphChar">
    <w:name w:val="List Paragraph Char"/>
    <w:aliases w:val="lev2 list Char,F5 List Paragraph Char,List Paragraph1 Char,Dot pt Char,No Spacing1 Char,List Paragraph Char Char Char Char,Indicator Text Char,Colorful List - Accent 11 Char,Numbered Para 1 Char,Bullet 1 Char,Bullet Points Char"/>
    <w:link w:val="ListParagraph"/>
    <w:uiPriority w:val="34"/>
    <w:locked/>
    <w:rsid w:val="00F13422"/>
    <w:rPr>
      <w:sz w:val="24"/>
      <w:szCs w:val="24"/>
      <w:lang w:eastAsia="en-US"/>
    </w:rPr>
  </w:style>
  <w:style w:type="paragraph" w:customStyle="1" w:styleId="Default">
    <w:name w:val="Default"/>
    <w:rsid w:val="00F13422"/>
    <w:pPr>
      <w:autoSpaceDE w:val="0"/>
      <w:autoSpaceDN w:val="0"/>
      <w:adjustRightInd w:val="0"/>
    </w:pPr>
    <w:rPr>
      <w:rFonts w:ascii="Syntax" w:eastAsia="MS ??" w:hAnsi="Syntax" w:cs="Syntax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hp.nmabstriage@nh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eMBED</Company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Clausen</dc:creator>
  <cp:keywords/>
  <cp:lastModifiedBy>MOMENT, Mollie (YORKSHIRE HEALTH PARTNERS LTD)</cp:lastModifiedBy>
  <cp:revision>3</cp:revision>
  <dcterms:created xsi:type="dcterms:W3CDTF">2022-04-11T12:13:00Z</dcterms:created>
  <dcterms:modified xsi:type="dcterms:W3CDTF">2022-04-11T13:07:00Z</dcterms:modified>
</cp:coreProperties>
</file>